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5C7CA" w14:textId="54D4AE6C" w:rsidR="0040428C" w:rsidRPr="00E80108" w:rsidRDefault="0040428C" w:rsidP="0040428C">
      <w:pPr>
        <w:pStyle w:val="Heading1"/>
        <w:numPr>
          <w:ilvl w:val="0"/>
          <w:numId w:val="0"/>
        </w:numPr>
        <w:jc w:val="center"/>
        <w:rPr>
          <w:rFonts w:cstheme="majorHAnsi"/>
          <w:b/>
          <w:color w:val="auto"/>
          <w:sz w:val="44"/>
          <w:szCs w:val="44"/>
        </w:rPr>
      </w:pPr>
      <w:r w:rsidRPr="00E80108">
        <w:rPr>
          <w:rFonts w:cstheme="majorHAnsi"/>
          <w:b/>
          <w:color w:val="auto"/>
          <w:sz w:val="44"/>
          <w:szCs w:val="44"/>
        </w:rPr>
        <w:t>Proposal</w:t>
      </w:r>
      <w:r w:rsidRPr="00E80108">
        <w:rPr>
          <w:rFonts w:cstheme="majorHAnsi"/>
          <w:b/>
          <w:color w:val="auto"/>
          <w:sz w:val="44"/>
          <w:szCs w:val="44"/>
        </w:rPr>
        <w:br/>
        <w:t>UCCS Survey Committee</w:t>
      </w:r>
    </w:p>
    <w:p w14:paraId="68E383A8" w14:textId="6607F2EA" w:rsidR="0040428C" w:rsidRPr="0012225E" w:rsidRDefault="0040428C" w:rsidP="0040428C">
      <w:pPr>
        <w:pStyle w:val="Heading1"/>
        <w:numPr>
          <w:ilvl w:val="0"/>
          <w:numId w:val="0"/>
        </w:numPr>
        <w:rPr>
          <w:color w:val="auto"/>
          <w:sz w:val="24"/>
          <w:szCs w:val="24"/>
        </w:rPr>
      </w:pPr>
      <w:r w:rsidRPr="0012225E">
        <w:rPr>
          <w:rFonts w:cstheme="majorHAnsi"/>
          <w:color w:val="auto"/>
          <w:sz w:val="24"/>
          <w:szCs w:val="24"/>
        </w:rPr>
        <w:t xml:space="preserve">The purpose of the Survey Committee is to improve the quality of campus surveys by (a) coordinating the scheduling of all surveys delivered to UCCS students, alumni, and/or employees, (b) reviewing all surveys for compliance with existing polices and best practices, (c) providing support for survey research and design, and (d) expanding accessibility to and use of survey results. </w:t>
      </w:r>
      <w:r w:rsidRPr="0012225E">
        <w:rPr>
          <w:rFonts w:cstheme="majorHAnsi"/>
          <w:color w:val="auto"/>
          <w:sz w:val="24"/>
          <w:szCs w:val="24"/>
        </w:rPr>
        <w:br/>
      </w:r>
      <w:r w:rsidRPr="0012225E">
        <w:rPr>
          <w:rFonts w:cstheme="majorHAnsi"/>
          <w:color w:val="auto"/>
          <w:sz w:val="24"/>
          <w:szCs w:val="24"/>
        </w:rPr>
        <w:br/>
        <w:t xml:space="preserve">UCCS relies on surveys to collect data </w:t>
      </w:r>
      <w:r w:rsidR="005B3BB0" w:rsidRPr="0012225E">
        <w:rPr>
          <w:rFonts w:cstheme="majorHAnsi"/>
          <w:color w:val="auto"/>
          <w:sz w:val="24"/>
          <w:szCs w:val="24"/>
        </w:rPr>
        <w:t>to improve programs and planning; surveys are often</w:t>
      </w:r>
      <w:r w:rsidRPr="0012225E">
        <w:rPr>
          <w:rFonts w:cstheme="majorHAnsi"/>
          <w:color w:val="auto"/>
          <w:sz w:val="24"/>
          <w:szCs w:val="24"/>
        </w:rPr>
        <w:t xml:space="preserve"> expected and sometimes required by accrediting bodies and local, state, or federal government agencies. We believe survey fatigue has reduced the willingness of participants to respond to surveys, thereby generating results that are inapplicable or of questionable validity. </w:t>
      </w:r>
      <w:r w:rsidR="003C458B" w:rsidRPr="0012225E">
        <w:rPr>
          <w:rFonts w:cstheme="majorHAnsi"/>
          <w:color w:val="auto"/>
          <w:sz w:val="24"/>
          <w:szCs w:val="24"/>
        </w:rPr>
        <w:t>Through a collaborative effort, w</w:t>
      </w:r>
      <w:r w:rsidRPr="0012225E">
        <w:rPr>
          <w:rFonts w:cstheme="majorHAnsi"/>
          <w:color w:val="auto"/>
          <w:sz w:val="24"/>
          <w:szCs w:val="24"/>
        </w:rPr>
        <w:t>e aim to reduce survey fatigue, improve response rates, avoid redundancies, provide resource and operational support, and enhance the overall use and applicability of survey results to advance the mission and strategic plan of the university</w:t>
      </w:r>
      <w:r w:rsidR="003C458B" w:rsidRPr="0012225E">
        <w:rPr>
          <w:rFonts w:cstheme="majorHAnsi"/>
          <w:color w:val="auto"/>
          <w:sz w:val="24"/>
          <w:szCs w:val="24"/>
        </w:rPr>
        <w:t xml:space="preserve">. </w:t>
      </w:r>
    </w:p>
    <w:p w14:paraId="09B9320C" w14:textId="77777777" w:rsidR="005006DE" w:rsidRPr="0012225E" w:rsidRDefault="00964D8E" w:rsidP="00055F52">
      <w:pPr>
        <w:pStyle w:val="Heading1"/>
        <w:ind w:hanging="720"/>
        <w:rPr>
          <w:color w:val="auto"/>
          <w:sz w:val="24"/>
          <w:szCs w:val="24"/>
        </w:rPr>
      </w:pPr>
      <w:r w:rsidRPr="0012225E">
        <w:rPr>
          <w:color w:val="auto"/>
          <w:sz w:val="24"/>
          <w:szCs w:val="24"/>
        </w:rPr>
        <w:t>Membership</w:t>
      </w:r>
      <w:bookmarkStart w:id="0" w:name="_GoBack"/>
      <w:bookmarkEnd w:id="0"/>
      <w:r w:rsidR="005006DE" w:rsidRPr="0012225E">
        <w:rPr>
          <w:color w:val="auto"/>
          <w:sz w:val="24"/>
          <w:szCs w:val="24"/>
        </w:rPr>
        <w:br/>
      </w: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5665"/>
        <w:gridCol w:w="4405"/>
      </w:tblGrid>
      <w:tr w:rsidR="005006DE" w:rsidRPr="0012225E" w14:paraId="538752AE" w14:textId="77777777" w:rsidTr="00326F53">
        <w:trPr>
          <w:trHeight w:val="144"/>
        </w:trPr>
        <w:tc>
          <w:tcPr>
            <w:tcW w:w="5665" w:type="dxa"/>
          </w:tcPr>
          <w:p w14:paraId="22E156E3" w14:textId="430AFAEA" w:rsidR="005006DE" w:rsidRPr="0012225E" w:rsidRDefault="005006DE" w:rsidP="005006DE">
            <w:pPr>
              <w:pStyle w:val="Heading1"/>
              <w:numPr>
                <w:ilvl w:val="0"/>
                <w:numId w:val="0"/>
              </w:numPr>
              <w:outlineLvl w:val="0"/>
              <w:rPr>
                <w:color w:val="auto"/>
                <w:sz w:val="24"/>
                <w:szCs w:val="24"/>
              </w:rPr>
            </w:pPr>
            <w:r w:rsidRPr="0012225E">
              <w:rPr>
                <w:color w:val="auto"/>
                <w:sz w:val="24"/>
                <w:szCs w:val="24"/>
              </w:rPr>
              <w:t>Position:</w:t>
            </w:r>
          </w:p>
        </w:tc>
        <w:tc>
          <w:tcPr>
            <w:tcW w:w="4405" w:type="dxa"/>
          </w:tcPr>
          <w:p w14:paraId="39CEF485" w14:textId="7E4F4B5C" w:rsidR="005006DE" w:rsidRPr="0012225E" w:rsidRDefault="005006DE" w:rsidP="005006DE">
            <w:pPr>
              <w:pStyle w:val="Heading1"/>
              <w:numPr>
                <w:ilvl w:val="0"/>
                <w:numId w:val="0"/>
              </w:numPr>
              <w:outlineLvl w:val="0"/>
              <w:rPr>
                <w:color w:val="auto"/>
                <w:sz w:val="24"/>
                <w:szCs w:val="24"/>
              </w:rPr>
            </w:pPr>
            <w:r w:rsidRPr="0012225E">
              <w:rPr>
                <w:color w:val="auto"/>
                <w:sz w:val="24"/>
                <w:szCs w:val="24"/>
              </w:rPr>
              <w:t>Member Name:</w:t>
            </w:r>
          </w:p>
        </w:tc>
      </w:tr>
      <w:tr w:rsidR="005006DE" w:rsidRPr="0012225E" w14:paraId="598331CD" w14:textId="77777777" w:rsidTr="00326F53">
        <w:trPr>
          <w:trHeight w:val="144"/>
        </w:trPr>
        <w:tc>
          <w:tcPr>
            <w:tcW w:w="5665" w:type="dxa"/>
          </w:tcPr>
          <w:p w14:paraId="47195F30" w14:textId="379ED058" w:rsidR="005006DE" w:rsidRPr="0012225E" w:rsidRDefault="005006DE" w:rsidP="005006DE">
            <w:pPr>
              <w:pStyle w:val="Heading1"/>
              <w:numPr>
                <w:ilvl w:val="0"/>
                <w:numId w:val="0"/>
              </w:numPr>
              <w:outlineLvl w:val="0"/>
              <w:rPr>
                <w:color w:val="auto"/>
                <w:sz w:val="24"/>
                <w:szCs w:val="24"/>
              </w:rPr>
            </w:pPr>
            <w:r w:rsidRPr="0012225E">
              <w:rPr>
                <w:color w:val="auto"/>
                <w:sz w:val="24"/>
                <w:szCs w:val="24"/>
              </w:rPr>
              <w:t>Chair, Director of Institutional Research</w:t>
            </w:r>
          </w:p>
        </w:tc>
        <w:tc>
          <w:tcPr>
            <w:tcW w:w="4405" w:type="dxa"/>
          </w:tcPr>
          <w:p w14:paraId="33658A9B" w14:textId="3605FFAD" w:rsidR="005006DE" w:rsidRPr="0012225E" w:rsidRDefault="005006DE" w:rsidP="005006DE">
            <w:pPr>
              <w:pStyle w:val="Heading1"/>
              <w:numPr>
                <w:ilvl w:val="0"/>
                <w:numId w:val="0"/>
              </w:numPr>
              <w:outlineLvl w:val="0"/>
              <w:rPr>
                <w:color w:val="auto"/>
                <w:sz w:val="24"/>
                <w:szCs w:val="24"/>
              </w:rPr>
            </w:pPr>
            <w:r w:rsidRPr="0012225E">
              <w:rPr>
                <w:color w:val="auto"/>
                <w:sz w:val="24"/>
                <w:szCs w:val="24"/>
              </w:rPr>
              <w:t>Robyn Marschke</w:t>
            </w:r>
          </w:p>
        </w:tc>
      </w:tr>
      <w:tr w:rsidR="005006DE" w:rsidRPr="0012225E" w14:paraId="4212CE95" w14:textId="77777777" w:rsidTr="00326F53">
        <w:trPr>
          <w:trHeight w:val="144"/>
        </w:trPr>
        <w:tc>
          <w:tcPr>
            <w:tcW w:w="5665" w:type="dxa"/>
          </w:tcPr>
          <w:p w14:paraId="191A68FB" w14:textId="57CC4C57" w:rsidR="005006DE" w:rsidRPr="0012225E" w:rsidRDefault="005006DE" w:rsidP="005006DE">
            <w:pPr>
              <w:pStyle w:val="Heading1"/>
              <w:numPr>
                <w:ilvl w:val="0"/>
                <w:numId w:val="0"/>
              </w:numPr>
              <w:outlineLvl w:val="0"/>
              <w:rPr>
                <w:color w:val="auto"/>
                <w:sz w:val="24"/>
                <w:szCs w:val="24"/>
              </w:rPr>
            </w:pPr>
            <w:r w:rsidRPr="0012225E">
              <w:rPr>
                <w:color w:val="auto"/>
                <w:sz w:val="24"/>
                <w:szCs w:val="24"/>
              </w:rPr>
              <w:t>Assoc Chair, Office of Research</w:t>
            </w:r>
          </w:p>
        </w:tc>
        <w:tc>
          <w:tcPr>
            <w:tcW w:w="4405" w:type="dxa"/>
          </w:tcPr>
          <w:p w14:paraId="253A210E" w14:textId="4098AE1E" w:rsidR="005006DE" w:rsidRPr="0012225E" w:rsidRDefault="005006DE" w:rsidP="005006DE">
            <w:pPr>
              <w:pStyle w:val="Heading1"/>
              <w:numPr>
                <w:ilvl w:val="0"/>
                <w:numId w:val="0"/>
              </w:numPr>
              <w:outlineLvl w:val="0"/>
              <w:rPr>
                <w:color w:val="auto"/>
                <w:sz w:val="24"/>
                <w:szCs w:val="24"/>
              </w:rPr>
            </w:pPr>
            <w:r w:rsidRPr="0012225E">
              <w:rPr>
                <w:color w:val="auto"/>
                <w:sz w:val="24"/>
                <w:szCs w:val="24"/>
              </w:rPr>
              <w:t>Jessi Smith</w:t>
            </w:r>
          </w:p>
        </w:tc>
      </w:tr>
      <w:tr w:rsidR="005006DE" w:rsidRPr="0012225E" w14:paraId="0CACA900" w14:textId="77777777" w:rsidTr="00326F53">
        <w:trPr>
          <w:trHeight w:val="144"/>
        </w:trPr>
        <w:tc>
          <w:tcPr>
            <w:tcW w:w="5665" w:type="dxa"/>
          </w:tcPr>
          <w:p w14:paraId="668C0251" w14:textId="06B882E1" w:rsidR="005006DE" w:rsidRPr="0012225E" w:rsidRDefault="005006DE" w:rsidP="005006DE">
            <w:pPr>
              <w:pStyle w:val="Heading1"/>
              <w:numPr>
                <w:ilvl w:val="0"/>
                <w:numId w:val="0"/>
              </w:numPr>
              <w:outlineLvl w:val="0"/>
              <w:rPr>
                <w:color w:val="auto"/>
                <w:sz w:val="24"/>
                <w:szCs w:val="24"/>
              </w:rPr>
            </w:pPr>
            <w:r w:rsidRPr="0012225E">
              <w:rPr>
                <w:color w:val="auto"/>
                <w:sz w:val="24"/>
                <w:szCs w:val="24"/>
              </w:rPr>
              <w:t>Representative, Career Services</w:t>
            </w:r>
          </w:p>
        </w:tc>
        <w:tc>
          <w:tcPr>
            <w:tcW w:w="4405" w:type="dxa"/>
          </w:tcPr>
          <w:p w14:paraId="2441D59D" w14:textId="02B0797A" w:rsidR="005006DE" w:rsidRPr="0012225E" w:rsidRDefault="005006DE" w:rsidP="005006DE">
            <w:pPr>
              <w:pStyle w:val="Heading1"/>
              <w:numPr>
                <w:ilvl w:val="0"/>
                <w:numId w:val="0"/>
              </w:numPr>
              <w:outlineLvl w:val="0"/>
              <w:rPr>
                <w:color w:val="auto"/>
                <w:sz w:val="24"/>
                <w:szCs w:val="24"/>
              </w:rPr>
            </w:pPr>
            <w:r w:rsidRPr="0012225E">
              <w:rPr>
                <w:color w:val="auto"/>
                <w:sz w:val="24"/>
                <w:szCs w:val="24"/>
              </w:rPr>
              <w:t>Claire Ami</w:t>
            </w:r>
          </w:p>
        </w:tc>
      </w:tr>
      <w:tr w:rsidR="005006DE" w:rsidRPr="0012225E" w14:paraId="3346A2AF" w14:textId="77777777" w:rsidTr="00326F53">
        <w:trPr>
          <w:trHeight w:val="144"/>
        </w:trPr>
        <w:tc>
          <w:tcPr>
            <w:tcW w:w="5665" w:type="dxa"/>
          </w:tcPr>
          <w:p w14:paraId="71D3EBA4" w14:textId="5085A39D" w:rsidR="005006DE" w:rsidRPr="0012225E" w:rsidRDefault="005006DE" w:rsidP="005006DE">
            <w:pPr>
              <w:pStyle w:val="Heading1"/>
              <w:numPr>
                <w:ilvl w:val="0"/>
                <w:numId w:val="0"/>
              </w:numPr>
              <w:outlineLvl w:val="0"/>
              <w:rPr>
                <w:color w:val="auto"/>
                <w:sz w:val="24"/>
                <w:szCs w:val="24"/>
              </w:rPr>
            </w:pPr>
            <w:r w:rsidRPr="0012225E">
              <w:rPr>
                <w:color w:val="auto"/>
                <w:sz w:val="24"/>
                <w:szCs w:val="24"/>
              </w:rPr>
              <w:t>Representative, Auxiliaries</w:t>
            </w:r>
          </w:p>
        </w:tc>
        <w:tc>
          <w:tcPr>
            <w:tcW w:w="4405" w:type="dxa"/>
          </w:tcPr>
          <w:p w14:paraId="6A03EA76" w14:textId="58255366" w:rsidR="005006DE" w:rsidRPr="0012225E" w:rsidRDefault="005006DE" w:rsidP="005006DE">
            <w:pPr>
              <w:pStyle w:val="Heading1"/>
              <w:numPr>
                <w:ilvl w:val="0"/>
                <w:numId w:val="0"/>
              </w:numPr>
              <w:outlineLvl w:val="0"/>
              <w:rPr>
                <w:color w:val="auto"/>
                <w:sz w:val="24"/>
                <w:szCs w:val="24"/>
              </w:rPr>
            </w:pPr>
            <w:r w:rsidRPr="0012225E">
              <w:rPr>
                <w:color w:val="auto"/>
                <w:sz w:val="24"/>
                <w:szCs w:val="24"/>
              </w:rPr>
              <w:t>Stephanie Hanenberg</w:t>
            </w:r>
          </w:p>
        </w:tc>
      </w:tr>
      <w:tr w:rsidR="005006DE" w:rsidRPr="0012225E" w14:paraId="557CD29C" w14:textId="77777777" w:rsidTr="00326F53">
        <w:trPr>
          <w:trHeight w:val="144"/>
        </w:trPr>
        <w:tc>
          <w:tcPr>
            <w:tcW w:w="5665" w:type="dxa"/>
          </w:tcPr>
          <w:p w14:paraId="30BF4B5B" w14:textId="7936A37B" w:rsidR="005006DE" w:rsidRPr="0012225E" w:rsidRDefault="005006DE" w:rsidP="005006DE">
            <w:pPr>
              <w:pStyle w:val="Heading1"/>
              <w:numPr>
                <w:ilvl w:val="0"/>
                <w:numId w:val="0"/>
              </w:numPr>
              <w:outlineLvl w:val="0"/>
              <w:rPr>
                <w:color w:val="auto"/>
                <w:sz w:val="24"/>
                <w:szCs w:val="24"/>
              </w:rPr>
            </w:pPr>
            <w:r w:rsidRPr="0012225E">
              <w:rPr>
                <w:color w:val="auto"/>
                <w:sz w:val="24"/>
                <w:szCs w:val="24"/>
              </w:rPr>
              <w:t>Representative, Student Life</w:t>
            </w:r>
          </w:p>
        </w:tc>
        <w:tc>
          <w:tcPr>
            <w:tcW w:w="4405" w:type="dxa"/>
          </w:tcPr>
          <w:p w14:paraId="35BAAC9D" w14:textId="7BA52550" w:rsidR="005006DE" w:rsidRPr="0012225E" w:rsidRDefault="005006DE" w:rsidP="005006DE">
            <w:pPr>
              <w:pStyle w:val="Heading1"/>
              <w:numPr>
                <w:ilvl w:val="0"/>
                <w:numId w:val="0"/>
              </w:numPr>
              <w:outlineLvl w:val="0"/>
              <w:rPr>
                <w:color w:val="auto"/>
                <w:sz w:val="24"/>
                <w:szCs w:val="24"/>
              </w:rPr>
            </w:pPr>
            <w:r w:rsidRPr="0012225E">
              <w:rPr>
                <w:color w:val="auto"/>
                <w:sz w:val="24"/>
                <w:szCs w:val="24"/>
              </w:rPr>
              <w:t>Sabrina Wienholtz</w:t>
            </w:r>
          </w:p>
        </w:tc>
      </w:tr>
      <w:tr w:rsidR="005006DE" w:rsidRPr="0012225E" w14:paraId="060E13B3" w14:textId="77777777" w:rsidTr="00326F53">
        <w:trPr>
          <w:trHeight w:val="144"/>
        </w:trPr>
        <w:tc>
          <w:tcPr>
            <w:tcW w:w="5665" w:type="dxa"/>
          </w:tcPr>
          <w:p w14:paraId="7131BB2F" w14:textId="088CE817" w:rsidR="005006DE" w:rsidRPr="0012225E" w:rsidRDefault="005006DE" w:rsidP="005006DE">
            <w:pPr>
              <w:pStyle w:val="Heading1"/>
              <w:numPr>
                <w:ilvl w:val="0"/>
                <w:numId w:val="0"/>
              </w:numPr>
              <w:outlineLvl w:val="0"/>
              <w:rPr>
                <w:color w:val="auto"/>
                <w:sz w:val="24"/>
                <w:szCs w:val="24"/>
              </w:rPr>
            </w:pPr>
            <w:r w:rsidRPr="0012225E">
              <w:rPr>
                <w:color w:val="auto"/>
                <w:sz w:val="24"/>
                <w:szCs w:val="24"/>
              </w:rPr>
              <w:t>Representative, Alumni Office</w:t>
            </w:r>
          </w:p>
        </w:tc>
        <w:tc>
          <w:tcPr>
            <w:tcW w:w="4405" w:type="dxa"/>
          </w:tcPr>
          <w:p w14:paraId="1BE6F33C" w14:textId="70799A71" w:rsidR="005006DE" w:rsidRPr="0012225E" w:rsidRDefault="005006DE" w:rsidP="005006DE">
            <w:pPr>
              <w:pStyle w:val="Heading1"/>
              <w:numPr>
                <w:ilvl w:val="0"/>
                <w:numId w:val="0"/>
              </w:numPr>
              <w:outlineLvl w:val="0"/>
              <w:rPr>
                <w:color w:val="auto"/>
                <w:sz w:val="24"/>
                <w:szCs w:val="24"/>
              </w:rPr>
            </w:pPr>
            <w:r w:rsidRPr="0012225E">
              <w:rPr>
                <w:color w:val="auto"/>
                <w:sz w:val="24"/>
                <w:szCs w:val="24"/>
              </w:rPr>
              <w:t>Joanna Bean</w:t>
            </w:r>
          </w:p>
        </w:tc>
      </w:tr>
      <w:tr w:rsidR="005006DE" w:rsidRPr="0012225E" w14:paraId="331255FA" w14:textId="77777777" w:rsidTr="00326F53">
        <w:trPr>
          <w:trHeight w:val="144"/>
        </w:trPr>
        <w:tc>
          <w:tcPr>
            <w:tcW w:w="5665" w:type="dxa"/>
          </w:tcPr>
          <w:p w14:paraId="42F4C826" w14:textId="6056D7DA" w:rsidR="005006DE" w:rsidRPr="0012225E" w:rsidRDefault="005006DE" w:rsidP="005006DE">
            <w:pPr>
              <w:pStyle w:val="Heading1"/>
              <w:numPr>
                <w:ilvl w:val="0"/>
                <w:numId w:val="0"/>
              </w:numPr>
              <w:outlineLvl w:val="0"/>
              <w:rPr>
                <w:color w:val="auto"/>
                <w:sz w:val="24"/>
                <w:szCs w:val="24"/>
              </w:rPr>
            </w:pPr>
            <w:r w:rsidRPr="0012225E">
              <w:rPr>
                <w:color w:val="auto"/>
                <w:sz w:val="24"/>
                <w:szCs w:val="24"/>
              </w:rPr>
              <w:t>Representative, Marketing &amp; Communications</w:t>
            </w:r>
          </w:p>
        </w:tc>
        <w:tc>
          <w:tcPr>
            <w:tcW w:w="4405" w:type="dxa"/>
          </w:tcPr>
          <w:p w14:paraId="43AF31B2" w14:textId="70B9DF3C" w:rsidR="005006DE" w:rsidRPr="0012225E" w:rsidRDefault="005006DE" w:rsidP="005006DE">
            <w:pPr>
              <w:pStyle w:val="Heading1"/>
              <w:numPr>
                <w:ilvl w:val="0"/>
                <w:numId w:val="0"/>
              </w:numPr>
              <w:outlineLvl w:val="0"/>
              <w:rPr>
                <w:color w:val="auto"/>
                <w:sz w:val="24"/>
                <w:szCs w:val="24"/>
              </w:rPr>
            </w:pPr>
            <w:r w:rsidRPr="0012225E">
              <w:rPr>
                <w:color w:val="auto"/>
                <w:sz w:val="24"/>
                <w:szCs w:val="24"/>
              </w:rPr>
              <w:t>Eric Nissen</w:t>
            </w:r>
          </w:p>
        </w:tc>
      </w:tr>
      <w:tr w:rsidR="005006DE" w:rsidRPr="0012225E" w14:paraId="23728A46" w14:textId="77777777" w:rsidTr="00326F53">
        <w:trPr>
          <w:trHeight w:val="144"/>
        </w:trPr>
        <w:tc>
          <w:tcPr>
            <w:tcW w:w="5665" w:type="dxa"/>
          </w:tcPr>
          <w:p w14:paraId="5ACDC7B7" w14:textId="6D944B94" w:rsidR="005006DE" w:rsidRPr="0012225E" w:rsidRDefault="005006DE" w:rsidP="005006DE">
            <w:pPr>
              <w:pStyle w:val="Heading1"/>
              <w:numPr>
                <w:ilvl w:val="0"/>
                <w:numId w:val="0"/>
              </w:numPr>
              <w:outlineLvl w:val="0"/>
              <w:rPr>
                <w:color w:val="auto"/>
                <w:sz w:val="24"/>
                <w:szCs w:val="24"/>
              </w:rPr>
            </w:pPr>
            <w:r w:rsidRPr="0012225E">
              <w:rPr>
                <w:color w:val="auto"/>
                <w:sz w:val="24"/>
                <w:szCs w:val="24"/>
              </w:rPr>
              <w:t>Representative, Institutional Research</w:t>
            </w:r>
          </w:p>
        </w:tc>
        <w:tc>
          <w:tcPr>
            <w:tcW w:w="4405" w:type="dxa"/>
          </w:tcPr>
          <w:p w14:paraId="23739046" w14:textId="08B67C4B" w:rsidR="0012225E" w:rsidRPr="0012225E" w:rsidRDefault="005006DE" w:rsidP="0012225E">
            <w:pPr>
              <w:pStyle w:val="Heading1"/>
              <w:numPr>
                <w:ilvl w:val="0"/>
                <w:numId w:val="0"/>
              </w:numPr>
              <w:outlineLvl w:val="0"/>
              <w:rPr>
                <w:color w:val="auto"/>
                <w:sz w:val="24"/>
                <w:szCs w:val="24"/>
              </w:rPr>
            </w:pPr>
            <w:r w:rsidRPr="0012225E">
              <w:rPr>
                <w:color w:val="auto"/>
                <w:sz w:val="24"/>
                <w:szCs w:val="24"/>
              </w:rPr>
              <w:t>Wendi Clouse</w:t>
            </w:r>
          </w:p>
        </w:tc>
      </w:tr>
      <w:tr w:rsidR="0012225E" w:rsidRPr="0012225E" w14:paraId="4402A30E" w14:textId="77777777" w:rsidTr="00326F53">
        <w:trPr>
          <w:trHeight w:val="144"/>
        </w:trPr>
        <w:tc>
          <w:tcPr>
            <w:tcW w:w="5665" w:type="dxa"/>
          </w:tcPr>
          <w:p w14:paraId="504A4825" w14:textId="4CF90E57" w:rsidR="0012225E" w:rsidRPr="0012225E" w:rsidRDefault="0012225E" w:rsidP="005006DE">
            <w:pPr>
              <w:pStyle w:val="Heading1"/>
              <w:numPr>
                <w:ilvl w:val="0"/>
                <w:numId w:val="0"/>
              </w:numPr>
              <w:outlineLvl w:val="0"/>
              <w:rPr>
                <w:color w:val="auto"/>
                <w:sz w:val="24"/>
                <w:szCs w:val="24"/>
              </w:rPr>
            </w:pPr>
            <w:r w:rsidRPr="0012225E">
              <w:rPr>
                <w:color w:val="auto"/>
                <w:sz w:val="24"/>
                <w:szCs w:val="24"/>
              </w:rPr>
              <w:t>Representative, Title IX</w:t>
            </w:r>
          </w:p>
        </w:tc>
        <w:tc>
          <w:tcPr>
            <w:tcW w:w="4405" w:type="dxa"/>
          </w:tcPr>
          <w:p w14:paraId="4CBE850A" w14:textId="312500EA" w:rsidR="0012225E" w:rsidRPr="0012225E" w:rsidRDefault="0012225E" w:rsidP="0012225E">
            <w:pPr>
              <w:pStyle w:val="Heading1"/>
              <w:numPr>
                <w:ilvl w:val="0"/>
                <w:numId w:val="0"/>
              </w:numPr>
              <w:outlineLvl w:val="0"/>
              <w:rPr>
                <w:color w:val="auto"/>
                <w:sz w:val="24"/>
                <w:szCs w:val="24"/>
              </w:rPr>
            </w:pPr>
            <w:r w:rsidRPr="0012225E">
              <w:rPr>
                <w:color w:val="auto"/>
                <w:sz w:val="24"/>
                <w:szCs w:val="24"/>
              </w:rPr>
              <w:t>Amanda Alee</w:t>
            </w:r>
          </w:p>
        </w:tc>
      </w:tr>
      <w:tr w:rsidR="0012225E" w:rsidRPr="0012225E" w14:paraId="56A5EA40" w14:textId="77777777" w:rsidTr="00326F53">
        <w:trPr>
          <w:trHeight w:val="144"/>
        </w:trPr>
        <w:tc>
          <w:tcPr>
            <w:tcW w:w="5665" w:type="dxa"/>
          </w:tcPr>
          <w:p w14:paraId="6C10A09B" w14:textId="58D46F4E" w:rsidR="0012225E" w:rsidRPr="0012225E" w:rsidRDefault="0012225E" w:rsidP="005006DE">
            <w:pPr>
              <w:pStyle w:val="Heading1"/>
              <w:numPr>
                <w:ilvl w:val="0"/>
                <w:numId w:val="0"/>
              </w:numPr>
              <w:outlineLvl w:val="0"/>
              <w:rPr>
                <w:color w:val="auto"/>
                <w:sz w:val="24"/>
                <w:szCs w:val="24"/>
              </w:rPr>
            </w:pPr>
            <w:r w:rsidRPr="0012225E">
              <w:rPr>
                <w:color w:val="auto"/>
                <w:sz w:val="24"/>
                <w:szCs w:val="24"/>
              </w:rPr>
              <w:t>Representative, Compliance</w:t>
            </w:r>
          </w:p>
        </w:tc>
        <w:tc>
          <w:tcPr>
            <w:tcW w:w="4405" w:type="dxa"/>
          </w:tcPr>
          <w:p w14:paraId="54EE57AA" w14:textId="15C23299" w:rsidR="0012225E" w:rsidRPr="0012225E" w:rsidRDefault="0012225E" w:rsidP="0012225E">
            <w:pPr>
              <w:pStyle w:val="Heading1"/>
              <w:numPr>
                <w:ilvl w:val="0"/>
                <w:numId w:val="0"/>
              </w:numPr>
              <w:outlineLvl w:val="0"/>
              <w:rPr>
                <w:color w:val="auto"/>
                <w:sz w:val="24"/>
                <w:szCs w:val="24"/>
              </w:rPr>
            </w:pPr>
            <w:r w:rsidRPr="0012225E">
              <w:rPr>
                <w:color w:val="auto"/>
                <w:sz w:val="24"/>
                <w:szCs w:val="24"/>
              </w:rPr>
              <w:t>Deb O’Connor</w:t>
            </w:r>
          </w:p>
        </w:tc>
      </w:tr>
      <w:tr w:rsidR="00F339DE" w:rsidRPr="0012225E" w14:paraId="3CC053CA" w14:textId="77777777" w:rsidTr="00326F53">
        <w:trPr>
          <w:trHeight w:val="144"/>
        </w:trPr>
        <w:tc>
          <w:tcPr>
            <w:tcW w:w="5665" w:type="dxa"/>
          </w:tcPr>
          <w:p w14:paraId="10224E37" w14:textId="0626D466" w:rsidR="00F339DE" w:rsidRPr="0012225E" w:rsidRDefault="00F339DE" w:rsidP="005006DE">
            <w:pPr>
              <w:pStyle w:val="Heading1"/>
              <w:numPr>
                <w:ilvl w:val="0"/>
                <w:numId w:val="0"/>
              </w:numPr>
              <w:outlineLvl w:val="0"/>
              <w:rPr>
                <w:color w:val="auto"/>
                <w:sz w:val="24"/>
                <w:szCs w:val="24"/>
              </w:rPr>
            </w:pPr>
            <w:r>
              <w:rPr>
                <w:color w:val="auto"/>
                <w:sz w:val="24"/>
                <w:szCs w:val="24"/>
              </w:rPr>
              <w:t>Ex-Officio as needed</w:t>
            </w:r>
          </w:p>
        </w:tc>
        <w:tc>
          <w:tcPr>
            <w:tcW w:w="4405" w:type="dxa"/>
          </w:tcPr>
          <w:p w14:paraId="0F1F3EFE" w14:textId="2A1C55CF" w:rsidR="00F339DE" w:rsidRPr="0012225E" w:rsidRDefault="00F339DE" w:rsidP="0012225E">
            <w:pPr>
              <w:pStyle w:val="Heading1"/>
              <w:numPr>
                <w:ilvl w:val="0"/>
                <w:numId w:val="0"/>
              </w:numPr>
              <w:outlineLvl w:val="0"/>
              <w:rPr>
                <w:color w:val="auto"/>
                <w:sz w:val="24"/>
                <w:szCs w:val="24"/>
              </w:rPr>
            </w:pPr>
          </w:p>
        </w:tc>
      </w:tr>
    </w:tbl>
    <w:p w14:paraId="4A158048" w14:textId="4F1BDDF3" w:rsidR="00383EA6" w:rsidRPr="0012225E" w:rsidRDefault="00383EA6" w:rsidP="0012225E">
      <w:pPr>
        <w:pStyle w:val="Heading1"/>
        <w:numPr>
          <w:ilvl w:val="0"/>
          <w:numId w:val="0"/>
        </w:numPr>
        <w:ind w:left="720"/>
        <w:rPr>
          <w:color w:val="auto"/>
          <w:sz w:val="24"/>
          <w:szCs w:val="24"/>
        </w:rPr>
      </w:pPr>
    </w:p>
    <w:p w14:paraId="1398058D" w14:textId="6008C0A1" w:rsidR="00964D8E" w:rsidRPr="0012225E" w:rsidRDefault="00964D8E" w:rsidP="00055F52">
      <w:pPr>
        <w:pStyle w:val="Heading1"/>
        <w:ind w:hanging="720"/>
        <w:rPr>
          <w:color w:val="auto"/>
          <w:sz w:val="24"/>
          <w:szCs w:val="24"/>
        </w:rPr>
      </w:pPr>
      <w:r w:rsidRPr="0012225E">
        <w:rPr>
          <w:color w:val="auto"/>
          <w:sz w:val="24"/>
          <w:szCs w:val="24"/>
        </w:rPr>
        <w:lastRenderedPageBreak/>
        <w:t>Scope</w:t>
      </w:r>
      <w:r w:rsidR="008B1EC8" w:rsidRPr="0012225E">
        <w:rPr>
          <w:color w:val="auto"/>
          <w:sz w:val="24"/>
          <w:szCs w:val="24"/>
        </w:rPr>
        <w:t xml:space="preserve"> of Survey</w:t>
      </w:r>
      <w:r w:rsidR="00055F52" w:rsidRPr="0012225E">
        <w:rPr>
          <w:color w:val="auto"/>
          <w:sz w:val="24"/>
          <w:szCs w:val="24"/>
        </w:rPr>
        <w:t xml:space="preserve"> Proposals</w:t>
      </w:r>
    </w:p>
    <w:p w14:paraId="2F44E8F3" w14:textId="7895B688" w:rsidR="00BF1485" w:rsidRPr="0012225E" w:rsidRDefault="00964D8E" w:rsidP="00055F52">
      <w:pPr>
        <w:pStyle w:val="Heading2"/>
        <w:ind w:hanging="720"/>
        <w:rPr>
          <w:color w:val="auto"/>
          <w:sz w:val="24"/>
          <w:szCs w:val="24"/>
        </w:rPr>
      </w:pPr>
      <w:r w:rsidRPr="0012225E">
        <w:rPr>
          <w:color w:val="auto"/>
          <w:sz w:val="24"/>
          <w:szCs w:val="24"/>
        </w:rPr>
        <w:t xml:space="preserve">Surveys </w:t>
      </w:r>
      <w:r w:rsidR="009F6C5B" w:rsidRPr="0012225E">
        <w:rPr>
          <w:color w:val="auto"/>
          <w:sz w:val="24"/>
          <w:szCs w:val="24"/>
          <w:u w:val="single"/>
        </w:rPr>
        <w:t>inside</w:t>
      </w:r>
      <w:r w:rsidR="009F6C5B" w:rsidRPr="0012225E">
        <w:rPr>
          <w:color w:val="auto"/>
          <w:sz w:val="24"/>
          <w:szCs w:val="24"/>
        </w:rPr>
        <w:t xml:space="preserve"> the scope of this committee </w:t>
      </w:r>
      <w:r w:rsidR="00486C9A" w:rsidRPr="0012225E">
        <w:rPr>
          <w:color w:val="auto"/>
          <w:sz w:val="24"/>
          <w:szCs w:val="24"/>
        </w:rPr>
        <w:t xml:space="preserve">include but are not limited to: </w:t>
      </w:r>
      <w:r w:rsidR="00AF6ABD" w:rsidRPr="0012225E">
        <w:rPr>
          <w:color w:val="auto"/>
          <w:sz w:val="24"/>
          <w:szCs w:val="24"/>
        </w:rPr>
        <w:t xml:space="preserve">questionnaires, </w:t>
      </w:r>
      <w:r w:rsidR="00766666" w:rsidRPr="0012225E">
        <w:rPr>
          <w:color w:val="auto"/>
          <w:sz w:val="24"/>
          <w:szCs w:val="24"/>
        </w:rPr>
        <w:t xml:space="preserve">climate surveys, satisfaction surveys, </w:t>
      </w:r>
      <w:r w:rsidR="00AF6ABD" w:rsidRPr="0012225E">
        <w:rPr>
          <w:color w:val="auto"/>
          <w:sz w:val="24"/>
          <w:szCs w:val="24"/>
        </w:rPr>
        <w:t xml:space="preserve">class </w:t>
      </w:r>
      <w:r w:rsidR="00504B79" w:rsidRPr="0012225E">
        <w:rPr>
          <w:color w:val="auto"/>
          <w:sz w:val="24"/>
          <w:szCs w:val="24"/>
        </w:rPr>
        <w:t xml:space="preserve">research </w:t>
      </w:r>
      <w:r w:rsidR="00AF6ABD" w:rsidRPr="0012225E">
        <w:rPr>
          <w:color w:val="auto"/>
          <w:sz w:val="24"/>
          <w:szCs w:val="24"/>
        </w:rPr>
        <w:t xml:space="preserve">projects, </w:t>
      </w:r>
      <w:r w:rsidR="007A430C" w:rsidRPr="0012225E">
        <w:rPr>
          <w:color w:val="auto"/>
          <w:sz w:val="24"/>
          <w:szCs w:val="24"/>
        </w:rPr>
        <w:t xml:space="preserve">surveys associated with </w:t>
      </w:r>
      <w:r w:rsidR="00AF6ABD" w:rsidRPr="0012225E">
        <w:rPr>
          <w:color w:val="auto"/>
          <w:sz w:val="24"/>
          <w:szCs w:val="24"/>
        </w:rPr>
        <w:t>sponsored research projects</w:t>
      </w:r>
      <w:r w:rsidR="00931388" w:rsidRPr="0012225E">
        <w:rPr>
          <w:color w:val="auto"/>
          <w:sz w:val="24"/>
          <w:szCs w:val="24"/>
        </w:rPr>
        <w:t xml:space="preserve"> or evaluation research</w:t>
      </w:r>
      <w:r w:rsidR="00AF6ABD" w:rsidRPr="0012225E">
        <w:rPr>
          <w:color w:val="auto"/>
          <w:sz w:val="24"/>
          <w:szCs w:val="24"/>
        </w:rPr>
        <w:t xml:space="preserve">, </w:t>
      </w:r>
      <w:r w:rsidR="00931388" w:rsidRPr="0012225E">
        <w:rPr>
          <w:color w:val="auto"/>
          <w:sz w:val="24"/>
          <w:szCs w:val="24"/>
        </w:rPr>
        <w:t xml:space="preserve">applied research, </w:t>
      </w:r>
      <w:r w:rsidR="00AF6ABD" w:rsidRPr="0012225E">
        <w:rPr>
          <w:color w:val="auto"/>
          <w:sz w:val="24"/>
          <w:szCs w:val="24"/>
        </w:rPr>
        <w:t xml:space="preserve">office assessments, learning assessments, customer service polls, elections or ballots, administrator performance reviews, and projects coordinated with </w:t>
      </w:r>
      <w:r w:rsidR="0089496A" w:rsidRPr="0012225E">
        <w:rPr>
          <w:color w:val="auto"/>
          <w:sz w:val="24"/>
          <w:szCs w:val="24"/>
        </w:rPr>
        <w:t>an off-campus partner or third party</w:t>
      </w:r>
      <w:r w:rsidR="00AF6ABD" w:rsidRPr="0012225E">
        <w:rPr>
          <w:color w:val="auto"/>
          <w:sz w:val="24"/>
          <w:szCs w:val="24"/>
        </w:rPr>
        <w:t>.</w:t>
      </w:r>
    </w:p>
    <w:p w14:paraId="39012D4A" w14:textId="49DC840E" w:rsidR="00AF6ABD" w:rsidRPr="00136B7E" w:rsidRDefault="00446BA0" w:rsidP="00055F52">
      <w:pPr>
        <w:pStyle w:val="Heading2"/>
        <w:ind w:hanging="720"/>
        <w:rPr>
          <w:i/>
          <w:iCs/>
          <w:color w:val="auto"/>
          <w:sz w:val="24"/>
          <w:szCs w:val="24"/>
        </w:rPr>
      </w:pPr>
      <w:r w:rsidRPr="0012225E">
        <w:rPr>
          <w:color w:val="auto"/>
          <w:sz w:val="24"/>
          <w:szCs w:val="24"/>
        </w:rPr>
        <w:t xml:space="preserve">Surveys </w:t>
      </w:r>
      <w:r w:rsidRPr="0012225E">
        <w:rPr>
          <w:color w:val="auto"/>
          <w:sz w:val="24"/>
          <w:szCs w:val="24"/>
          <w:u w:val="single"/>
        </w:rPr>
        <w:t>outside</w:t>
      </w:r>
      <w:r w:rsidRPr="0012225E">
        <w:rPr>
          <w:color w:val="auto"/>
          <w:sz w:val="24"/>
          <w:szCs w:val="24"/>
        </w:rPr>
        <w:t xml:space="preserve"> the scope of this committee are formal course evaluations</w:t>
      </w:r>
      <w:r w:rsidR="00CE4911" w:rsidRPr="0012225E">
        <w:rPr>
          <w:color w:val="auto"/>
          <w:sz w:val="24"/>
          <w:szCs w:val="24"/>
        </w:rPr>
        <w:t xml:space="preserve"> </w:t>
      </w:r>
      <w:r w:rsidR="00D83E25" w:rsidRPr="0012225E">
        <w:rPr>
          <w:color w:val="auto"/>
          <w:sz w:val="24"/>
          <w:szCs w:val="24"/>
        </w:rPr>
        <w:t xml:space="preserve">or </w:t>
      </w:r>
      <w:r w:rsidR="00CE4911" w:rsidRPr="0012225E">
        <w:rPr>
          <w:color w:val="auto"/>
          <w:sz w:val="24"/>
          <w:szCs w:val="24"/>
        </w:rPr>
        <w:t>“FCQs”</w:t>
      </w:r>
      <w:r w:rsidRPr="0012225E">
        <w:rPr>
          <w:color w:val="auto"/>
          <w:sz w:val="24"/>
          <w:szCs w:val="24"/>
        </w:rPr>
        <w:t>, informal course evaluations conducted within a class, one-off event feedback evaluations conducted at the end of an event</w:t>
      </w:r>
      <w:r w:rsidR="00056583" w:rsidRPr="0012225E">
        <w:rPr>
          <w:color w:val="auto"/>
          <w:sz w:val="24"/>
          <w:szCs w:val="24"/>
        </w:rPr>
        <w:t xml:space="preserve">, </w:t>
      </w:r>
      <w:r w:rsidR="00D83E25" w:rsidRPr="0012225E">
        <w:rPr>
          <w:color w:val="auto"/>
          <w:sz w:val="24"/>
          <w:szCs w:val="24"/>
        </w:rPr>
        <w:t xml:space="preserve">and </w:t>
      </w:r>
      <w:r w:rsidR="00056583" w:rsidRPr="0012225E">
        <w:rPr>
          <w:color w:val="auto"/>
          <w:sz w:val="24"/>
          <w:szCs w:val="24"/>
        </w:rPr>
        <w:t>event registrations or RSVPs</w:t>
      </w:r>
      <w:r w:rsidRPr="0012225E">
        <w:rPr>
          <w:color w:val="auto"/>
          <w:sz w:val="24"/>
          <w:szCs w:val="24"/>
        </w:rPr>
        <w:t>.</w:t>
      </w:r>
      <w:r w:rsidR="00722857" w:rsidRPr="0012225E">
        <w:rPr>
          <w:color w:val="auto"/>
          <w:sz w:val="24"/>
          <w:szCs w:val="24"/>
        </w:rPr>
        <w:t xml:space="preserve"> </w:t>
      </w:r>
      <w:r w:rsidR="00722857" w:rsidRPr="00136B7E">
        <w:rPr>
          <w:i/>
          <w:iCs/>
          <w:color w:val="auto"/>
          <w:sz w:val="24"/>
          <w:szCs w:val="24"/>
        </w:rPr>
        <w:t>Surveys that are entirely anonymous and administered via a single URL without using campus email addresses</w:t>
      </w:r>
      <w:r w:rsidR="005F25FA">
        <w:rPr>
          <w:i/>
          <w:iCs/>
          <w:color w:val="auto"/>
          <w:sz w:val="24"/>
          <w:szCs w:val="24"/>
        </w:rPr>
        <w:t xml:space="preserve"> or resources</w:t>
      </w:r>
      <w:r w:rsidR="00722857" w:rsidRPr="00136B7E">
        <w:rPr>
          <w:i/>
          <w:iCs/>
          <w:color w:val="auto"/>
          <w:sz w:val="24"/>
          <w:szCs w:val="24"/>
        </w:rPr>
        <w:t xml:space="preserve"> are outside the scope of this committee. </w:t>
      </w:r>
    </w:p>
    <w:p w14:paraId="71C00FA6" w14:textId="4D016286" w:rsidR="00964D8E" w:rsidRPr="0012225E" w:rsidRDefault="00964D8E" w:rsidP="00055F52">
      <w:pPr>
        <w:pStyle w:val="Heading1"/>
        <w:ind w:hanging="720"/>
        <w:rPr>
          <w:color w:val="auto"/>
          <w:sz w:val="24"/>
          <w:szCs w:val="24"/>
        </w:rPr>
      </w:pPr>
      <w:r w:rsidRPr="0012225E">
        <w:rPr>
          <w:color w:val="auto"/>
          <w:sz w:val="24"/>
          <w:szCs w:val="24"/>
        </w:rPr>
        <w:t>Review Process</w:t>
      </w:r>
    </w:p>
    <w:p w14:paraId="4270E465" w14:textId="630C2690" w:rsidR="00486C9A" w:rsidRPr="0012225E" w:rsidRDefault="00AB1E1C" w:rsidP="00055F52">
      <w:pPr>
        <w:pStyle w:val="Heading2"/>
        <w:ind w:hanging="720"/>
        <w:rPr>
          <w:color w:val="auto"/>
          <w:sz w:val="24"/>
          <w:szCs w:val="24"/>
        </w:rPr>
      </w:pPr>
      <w:r w:rsidRPr="0012225E">
        <w:rPr>
          <w:color w:val="auto"/>
          <w:sz w:val="24"/>
          <w:szCs w:val="24"/>
        </w:rPr>
        <w:t>Student, employee, or faculty member shall s</w:t>
      </w:r>
      <w:r w:rsidR="001755C2" w:rsidRPr="0012225E">
        <w:rPr>
          <w:color w:val="auto"/>
          <w:sz w:val="24"/>
          <w:szCs w:val="24"/>
        </w:rPr>
        <w:t xml:space="preserve">ubmit a </w:t>
      </w:r>
      <w:r w:rsidRPr="0012225E">
        <w:rPr>
          <w:color w:val="auto"/>
          <w:sz w:val="24"/>
          <w:szCs w:val="24"/>
        </w:rPr>
        <w:t xml:space="preserve">completed </w:t>
      </w:r>
      <w:r w:rsidR="008501FC" w:rsidRPr="0012225E">
        <w:rPr>
          <w:color w:val="auto"/>
          <w:sz w:val="24"/>
          <w:szCs w:val="24"/>
        </w:rPr>
        <w:t xml:space="preserve">Survey </w:t>
      </w:r>
      <w:r w:rsidR="005F25FA">
        <w:rPr>
          <w:color w:val="auto"/>
          <w:sz w:val="24"/>
          <w:szCs w:val="24"/>
        </w:rPr>
        <w:t>Intake Form</w:t>
      </w:r>
      <w:r w:rsidR="008501FC" w:rsidRPr="0012225E">
        <w:rPr>
          <w:color w:val="auto"/>
          <w:sz w:val="24"/>
          <w:szCs w:val="24"/>
        </w:rPr>
        <w:t xml:space="preserve"> (appendix) </w:t>
      </w:r>
      <w:r w:rsidR="001755C2" w:rsidRPr="0012225E">
        <w:rPr>
          <w:color w:val="auto"/>
          <w:sz w:val="24"/>
          <w:szCs w:val="24"/>
        </w:rPr>
        <w:t>to revise an existing core survey or conduct a new survey</w:t>
      </w:r>
      <w:r w:rsidR="00096549" w:rsidRPr="0012225E">
        <w:rPr>
          <w:color w:val="auto"/>
          <w:sz w:val="24"/>
          <w:szCs w:val="24"/>
        </w:rPr>
        <w:t xml:space="preserve">. </w:t>
      </w:r>
      <w:r w:rsidR="00601A0A" w:rsidRPr="0012225E">
        <w:rPr>
          <w:color w:val="auto"/>
          <w:sz w:val="24"/>
          <w:szCs w:val="24"/>
        </w:rPr>
        <w:t xml:space="preserve">Proposals should be submitted to </w:t>
      </w:r>
      <w:hyperlink r:id="rId7" w:history="1">
        <w:r w:rsidR="00601A0A" w:rsidRPr="0012225E">
          <w:rPr>
            <w:rStyle w:val="Hyperlink"/>
            <w:rFonts w:cstheme="majorHAnsi"/>
            <w:color w:val="auto"/>
            <w:sz w:val="24"/>
            <w:szCs w:val="24"/>
            <w:u w:val="none"/>
          </w:rPr>
          <w:t>ir@uccs.edu</w:t>
        </w:r>
      </w:hyperlink>
      <w:r w:rsidR="00260CDA" w:rsidRPr="0012225E">
        <w:rPr>
          <w:color w:val="auto"/>
          <w:sz w:val="24"/>
          <w:szCs w:val="24"/>
        </w:rPr>
        <w:t>.</w:t>
      </w:r>
      <w:r w:rsidRPr="0012225E">
        <w:rPr>
          <w:color w:val="auto"/>
          <w:sz w:val="24"/>
          <w:szCs w:val="24"/>
        </w:rPr>
        <w:t xml:space="preserve"> Institutional Research will distribute the proposal to the Survey Committee members</w:t>
      </w:r>
      <w:r w:rsidR="00137BA9" w:rsidRPr="0012225E">
        <w:rPr>
          <w:color w:val="auto"/>
          <w:sz w:val="24"/>
          <w:szCs w:val="24"/>
        </w:rPr>
        <w:t xml:space="preserve"> for review</w:t>
      </w:r>
      <w:r w:rsidR="005F25FA">
        <w:rPr>
          <w:color w:val="auto"/>
          <w:sz w:val="24"/>
          <w:szCs w:val="24"/>
        </w:rPr>
        <w:t xml:space="preserve"> and use Microsoft Teams to correspond outside of monthly meetings</w:t>
      </w:r>
      <w:r w:rsidR="00137BA9" w:rsidRPr="0012225E">
        <w:rPr>
          <w:color w:val="auto"/>
          <w:sz w:val="24"/>
          <w:szCs w:val="24"/>
        </w:rPr>
        <w:t>.</w:t>
      </w:r>
    </w:p>
    <w:p w14:paraId="2E4AD25F" w14:textId="43D90363" w:rsidR="00096549" w:rsidRPr="0012225E" w:rsidRDefault="00260CDA" w:rsidP="00055F52">
      <w:pPr>
        <w:pStyle w:val="Heading2"/>
        <w:ind w:hanging="720"/>
        <w:rPr>
          <w:color w:val="auto"/>
          <w:sz w:val="24"/>
          <w:szCs w:val="24"/>
        </w:rPr>
      </w:pPr>
      <w:r w:rsidRPr="0012225E">
        <w:rPr>
          <w:color w:val="auto"/>
          <w:sz w:val="24"/>
          <w:szCs w:val="24"/>
        </w:rPr>
        <w:t xml:space="preserve">The Survey </w:t>
      </w:r>
      <w:r w:rsidR="00096549" w:rsidRPr="0012225E">
        <w:rPr>
          <w:color w:val="auto"/>
          <w:sz w:val="24"/>
          <w:szCs w:val="24"/>
        </w:rPr>
        <w:t>Committee review</w:t>
      </w:r>
      <w:r w:rsidR="00CA099B" w:rsidRPr="0012225E">
        <w:rPr>
          <w:color w:val="auto"/>
          <w:sz w:val="24"/>
          <w:szCs w:val="24"/>
        </w:rPr>
        <w:t>s proposals</w:t>
      </w:r>
      <w:r w:rsidR="003D040F" w:rsidRPr="0012225E">
        <w:rPr>
          <w:color w:val="auto"/>
          <w:sz w:val="24"/>
          <w:szCs w:val="24"/>
        </w:rPr>
        <w:t xml:space="preserve"> on a rolling basis.</w:t>
      </w:r>
      <w:r w:rsidRPr="0012225E">
        <w:rPr>
          <w:color w:val="auto"/>
          <w:sz w:val="24"/>
          <w:szCs w:val="24"/>
        </w:rPr>
        <w:t xml:space="preserve"> Within </w:t>
      </w:r>
      <w:r w:rsidR="0003303D">
        <w:rPr>
          <w:color w:val="auto"/>
          <w:sz w:val="24"/>
          <w:szCs w:val="24"/>
        </w:rPr>
        <w:t>one month of receiving the Intake Form</w:t>
      </w:r>
      <w:r w:rsidRPr="0012225E">
        <w:rPr>
          <w:color w:val="auto"/>
          <w:sz w:val="24"/>
          <w:szCs w:val="24"/>
        </w:rPr>
        <w:t>, the committee will:</w:t>
      </w:r>
    </w:p>
    <w:p w14:paraId="0FCB0BD4" w14:textId="7292BCA7" w:rsidR="00486C9A" w:rsidRPr="0012225E" w:rsidRDefault="00260CDA" w:rsidP="00055F52">
      <w:pPr>
        <w:pStyle w:val="Heading3"/>
        <w:ind w:hanging="720"/>
        <w:rPr>
          <w:color w:val="auto"/>
        </w:rPr>
      </w:pPr>
      <w:r w:rsidRPr="0012225E">
        <w:rPr>
          <w:color w:val="auto"/>
        </w:rPr>
        <w:t>Conduct a c</w:t>
      </w:r>
      <w:r w:rsidR="00CA099B" w:rsidRPr="0012225E">
        <w:rPr>
          <w:color w:val="auto"/>
        </w:rPr>
        <w:t>ursory</w:t>
      </w:r>
      <w:r w:rsidR="00486C9A" w:rsidRPr="0012225E">
        <w:rPr>
          <w:color w:val="auto"/>
        </w:rPr>
        <w:t xml:space="preserve"> review</w:t>
      </w:r>
      <w:r w:rsidR="00CA099B" w:rsidRPr="0012225E">
        <w:rPr>
          <w:color w:val="auto"/>
        </w:rPr>
        <w:t xml:space="preserve"> for </w:t>
      </w:r>
      <w:r w:rsidRPr="0012225E">
        <w:rPr>
          <w:color w:val="auto"/>
        </w:rPr>
        <w:t xml:space="preserve">the </w:t>
      </w:r>
      <w:r w:rsidR="00CA099B" w:rsidRPr="0012225E">
        <w:rPr>
          <w:color w:val="auto"/>
          <w:u w:val="single"/>
        </w:rPr>
        <w:t>necessity of IRB</w:t>
      </w:r>
      <w:r w:rsidR="00CA099B" w:rsidRPr="0012225E">
        <w:rPr>
          <w:color w:val="auto"/>
        </w:rPr>
        <w:t xml:space="preserve"> </w:t>
      </w:r>
      <w:r w:rsidRPr="0012225E">
        <w:rPr>
          <w:color w:val="auto"/>
        </w:rPr>
        <w:t xml:space="preserve">(Internal Review Board) </w:t>
      </w:r>
      <w:r w:rsidR="00CA099B" w:rsidRPr="0012225E">
        <w:rPr>
          <w:color w:val="auto"/>
        </w:rPr>
        <w:t>approval and</w:t>
      </w:r>
      <w:r w:rsidRPr="0012225E">
        <w:rPr>
          <w:color w:val="auto"/>
        </w:rPr>
        <w:t xml:space="preserve"> </w:t>
      </w:r>
      <w:r w:rsidR="00CA099B" w:rsidRPr="0012225E">
        <w:rPr>
          <w:color w:val="auto"/>
        </w:rPr>
        <w:t>refer</w:t>
      </w:r>
      <w:r w:rsidRPr="0012225E">
        <w:rPr>
          <w:color w:val="auto"/>
        </w:rPr>
        <w:t xml:space="preserve"> such proposals </w:t>
      </w:r>
      <w:r w:rsidR="00CA099B" w:rsidRPr="0012225E">
        <w:rPr>
          <w:color w:val="auto"/>
        </w:rPr>
        <w:t xml:space="preserve">to </w:t>
      </w:r>
      <w:r w:rsidRPr="0012225E">
        <w:rPr>
          <w:color w:val="auto"/>
        </w:rPr>
        <w:t xml:space="preserve">the </w:t>
      </w:r>
      <w:r w:rsidR="00CA099B" w:rsidRPr="0012225E">
        <w:rPr>
          <w:color w:val="auto"/>
        </w:rPr>
        <w:t>IRB.</w:t>
      </w:r>
      <w:r w:rsidR="00656608" w:rsidRPr="0012225E">
        <w:rPr>
          <w:color w:val="auto"/>
        </w:rPr>
        <w:t xml:space="preserve"> </w:t>
      </w:r>
      <w:r w:rsidR="00DB39CA" w:rsidRPr="0012225E">
        <w:rPr>
          <w:color w:val="auto"/>
        </w:rPr>
        <w:t>Examples of s</w:t>
      </w:r>
      <w:r w:rsidR="00686F12" w:rsidRPr="0012225E">
        <w:rPr>
          <w:color w:val="auto"/>
        </w:rPr>
        <w:t>urveys</w:t>
      </w:r>
      <w:r w:rsidR="00656608" w:rsidRPr="0012225E">
        <w:rPr>
          <w:color w:val="auto"/>
        </w:rPr>
        <w:t xml:space="preserve"> that may need IRB approval are surveys that reach vulnerable populations</w:t>
      </w:r>
      <w:r w:rsidR="0003303D">
        <w:rPr>
          <w:color w:val="auto"/>
        </w:rPr>
        <w:t xml:space="preserve"> </w:t>
      </w:r>
      <w:r w:rsidR="00656608" w:rsidRPr="0012225E">
        <w:rPr>
          <w:color w:val="auto"/>
        </w:rPr>
        <w:t xml:space="preserve">or ask about illegal behavior. </w:t>
      </w:r>
    </w:p>
    <w:p w14:paraId="3462FA30" w14:textId="796C7864" w:rsidR="006C7952" w:rsidRPr="0012225E" w:rsidRDefault="006D763B" w:rsidP="00055F52">
      <w:pPr>
        <w:pStyle w:val="Heading3"/>
        <w:ind w:hanging="720"/>
        <w:rPr>
          <w:color w:val="auto"/>
        </w:rPr>
      </w:pPr>
      <w:r w:rsidRPr="0012225E">
        <w:rPr>
          <w:color w:val="auto"/>
        </w:rPr>
        <w:t xml:space="preserve">Evaluate the </w:t>
      </w:r>
      <w:r w:rsidR="00DB39CA" w:rsidRPr="0012225E">
        <w:rPr>
          <w:color w:val="auto"/>
          <w:u w:val="single"/>
        </w:rPr>
        <w:t>fit and feasibility</w:t>
      </w:r>
      <w:r w:rsidRPr="0012225E">
        <w:rPr>
          <w:color w:val="auto"/>
        </w:rPr>
        <w:t xml:space="preserve"> of the proposal into existing </w:t>
      </w:r>
      <w:r w:rsidR="00670F83" w:rsidRPr="0012225E">
        <w:rPr>
          <w:color w:val="auto"/>
        </w:rPr>
        <w:t>mission, strategic plan</w:t>
      </w:r>
      <w:r w:rsidR="00A03C30" w:rsidRPr="0012225E">
        <w:rPr>
          <w:color w:val="auto"/>
        </w:rPr>
        <w:t>ning efforts</w:t>
      </w:r>
      <w:r w:rsidR="00670F83" w:rsidRPr="0012225E">
        <w:rPr>
          <w:color w:val="auto"/>
        </w:rPr>
        <w:t>, and current operations</w:t>
      </w:r>
      <w:r w:rsidRPr="0012225E">
        <w:rPr>
          <w:color w:val="auto"/>
        </w:rPr>
        <w:t>.</w:t>
      </w:r>
      <w:r w:rsidR="006C7952" w:rsidRPr="0012225E">
        <w:rPr>
          <w:color w:val="auto"/>
        </w:rPr>
        <w:t xml:space="preserve"> </w:t>
      </w:r>
    </w:p>
    <w:p w14:paraId="6D3245F7" w14:textId="3F0B28B9" w:rsidR="006C7952" w:rsidRPr="0012225E" w:rsidRDefault="0003303D" w:rsidP="00055F52">
      <w:pPr>
        <w:pStyle w:val="Heading3"/>
        <w:ind w:hanging="720"/>
        <w:rPr>
          <w:color w:val="auto"/>
        </w:rPr>
      </w:pPr>
      <w:r>
        <w:rPr>
          <w:color w:val="auto"/>
          <w:u w:val="single"/>
        </w:rPr>
        <w:t xml:space="preserve">Coordinate provision of </w:t>
      </w:r>
      <w:r w:rsidR="006C7952" w:rsidRPr="0012225E">
        <w:rPr>
          <w:color w:val="auto"/>
          <w:u w:val="single"/>
        </w:rPr>
        <w:t>support services</w:t>
      </w:r>
      <w:r w:rsidR="006C7952" w:rsidRPr="0012225E">
        <w:rPr>
          <w:color w:val="auto"/>
        </w:rPr>
        <w:t xml:space="preserve"> as </w:t>
      </w:r>
      <w:r>
        <w:rPr>
          <w:color w:val="auto"/>
        </w:rPr>
        <w:t>requested</w:t>
      </w:r>
      <w:r w:rsidR="006C7952" w:rsidRPr="0012225E">
        <w:rPr>
          <w:color w:val="auto"/>
        </w:rPr>
        <w:t xml:space="preserve"> on the Survey </w:t>
      </w:r>
      <w:r>
        <w:rPr>
          <w:color w:val="auto"/>
        </w:rPr>
        <w:t>Intake</w:t>
      </w:r>
      <w:r w:rsidR="006C7952" w:rsidRPr="0012225E">
        <w:rPr>
          <w:color w:val="auto"/>
        </w:rPr>
        <w:t xml:space="preserve"> Form. </w:t>
      </w:r>
      <w:r w:rsidR="00170C3B" w:rsidRPr="0012225E">
        <w:rPr>
          <w:color w:val="auto"/>
        </w:rPr>
        <w:t xml:space="preserve">This may include </w:t>
      </w:r>
      <w:r w:rsidR="00636D6B" w:rsidRPr="0012225E">
        <w:rPr>
          <w:color w:val="auto"/>
        </w:rPr>
        <w:t xml:space="preserve">full collaborative rights on </w:t>
      </w:r>
      <w:r w:rsidR="00170C3B" w:rsidRPr="0012225E">
        <w:rPr>
          <w:color w:val="auto"/>
        </w:rPr>
        <w:t xml:space="preserve">a </w:t>
      </w:r>
      <w:r w:rsidR="005A3BE7" w:rsidRPr="0012225E">
        <w:rPr>
          <w:color w:val="auto"/>
        </w:rPr>
        <w:t xml:space="preserve">temporary </w:t>
      </w:r>
      <w:r w:rsidR="00170C3B" w:rsidRPr="0012225E">
        <w:rPr>
          <w:color w:val="auto"/>
        </w:rPr>
        <w:t xml:space="preserve">Qualtrics account on the Institutional Research license, </w:t>
      </w:r>
      <w:r w:rsidR="00A03C30" w:rsidRPr="0012225E">
        <w:rPr>
          <w:color w:val="auto"/>
        </w:rPr>
        <w:t xml:space="preserve">provision of </w:t>
      </w:r>
      <w:r w:rsidR="00170C3B" w:rsidRPr="0012225E">
        <w:rPr>
          <w:color w:val="auto"/>
        </w:rPr>
        <w:t xml:space="preserve">a custom sample or list of respondents, </w:t>
      </w:r>
      <w:r w:rsidR="00A03C30" w:rsidRPr="0012225E">
        <w:rPr>
          <w:color w:val="auto"/>
        </w:rPr>
        <w:t xml:space="preserve">centrally </w:t>
      </w:r>
      <w:r w:rsidR="00170C3B" w:rsidRPr="0012225E">
        <w:rPr>
          <w:color w:val="auto"/>
        </w:rPr>
        <w:t>managed survey distribution and correspondence with participants, use of the Institutional Research Office’s survey incentive program</w:t>
      </w:r>
      <w:r w:rsidR="00C40086" w:rsidRPr="0012225E">
        <w:rPr>
          <w:color w:val="auto"/>
        </w:rPr>
        <w:t xml:space="preserve"> (for incentives exceeding $50)</w:t>
      </w:r>
      <w:r w:rsidR="00170C3B" w:rsidRPr="0012225E">
        <w:rPr>
          <w:color w:val="auto"/>
        </w:rPr>
        <w:t xml:space="preserve">, advice on survey design or best practices, and analytical or reporting support. </w:t>
      </w:r>
    </w:p>
    <w:p w14:paraId="18904A14" w14:textId="260A8113" w:rsidR="00656608" w:rsidRPr="0012225E" w:rsidRDefault="00DB39CA" w:rsidP="00055F52">
      <w:pPr>
        <w:pStyle w:val="Heading3"/>
        <w:ind w:hanging="720"/>
        <w:rPr>
          <w:color w:val="auto"/>
        </w:rPr>
      </w:pPr>
      <w:r w:rsidRPr="0012225E">
        <w:rPr>
          <w:color w:val="auto"/>
        </w:rPr>
        <w:t>R</w:t>
      </w:r>
      <w:r w:rsidR="00000590" w:rsidRPr="0012225E">
        <w:rPr>
          <w:color w:val="auto"/>
        </w:rPr>
        <w:t xml:space="preserve">eview the </w:t>
      </w:r>
      <w:r w:rsidR="00180572">
        <w:rPr>
          <w:color w:val="auto"/>
        </w:rPr>
        <w:t>proposal</w:t>
      </w:r>
      <w:r w:rsidR="00656608" w:rsidRPr="0012225E">
        <w:rPr>
          <w:color w:val="auto"/>
        </w:rPr>
        <w:t xml:space="preserve"> </w:t>
      </w:r>
      <w:r w:rsidRPr="0012225E">
        <w:rPr>
          <w:color w:val="auto"/>
        </w:rPr>
        <w:t>for best practices</w:t>
      </w:r>
      <w:r w:rsidR="00560D79" w:rsidRPr="0012225E">
        <w:rPr>
          <w:color w:val="auto"/>
        </w:rPr>
        <w:t>; t</w:t>
      </w:r>
      <w:r w:rsidR="00000590" w:rsidRPr="0012225E">
        <w:rPr>
          <w:color w:val="auto"/>
        </w:rPr>
        <w:t xml:space="preserve">he review </w:t>
      </w:r>
      <w:r w:rsidRPr="0012225E">
        <w:rPr>
          <w:color w:val="auto"/>
        </w:rPr>
        <w:t>will</w:t>
      </w:r>
      <w:r w:rsidR="00000590" w:rsidRPr="0012225E">
        <w:rPr>
          <w:color w:val="auto"/>
        </w:rPr>
        <w:t xml:space="preserve"> address the following items</w:t>
      </w:r>
      <w:r w:rsidR="00560D79" w:rsidRPr="0012225E">
        <w:rPr>
          <w:color w:val="auto"/>
        </w:rPr>
        <w:t>:</w:t>
      </w:r>
    </w:p>
    <w:p w14:paraId="12B2E65D" w14:textId="61EE021F" w:rsidR="002D1882" w:rsidRPr="0012225E" w:rsidRDefault="002D1882" w:rsidP="00055F52">
      <w:pPr>
        <w:pStyle w:val="Heading4"/>
        <w:ind w:hanging="720"/>
        <w:rPr>
          <w:color w:val="auto"/>
        </w:rPr>
      </w:pPr>
      <w:r w:rsidRPr="0012225E">
        <w:rPr>
          <w:color w:val="auto"/>
        </w:rPr>
        <w:t xml:space="preserve">Whether existing data may </w:t>
      </w:r>
      <w:r w:rsidR="00DC006C" w:rsidRPr="0012225E">
        <w:rPr>
          <w:color w:val="auto"/>
        </w:rPr>
        <w:t>suit the needs of the stakeholder and whether an existing survey may be revised to do so.</w:t>
      </w:r>
    </w:p>
    <w:p w14:paraId="2ABA59D8" w14:textId="1FA2C552" w:rsidR="00656608" w:rsidRPr="0012225E" w:rsidRDefault="00DC006C" w:rsidP="00055F52">
      <w:pPr>
        <w:pStyle w:val="Heading4"/>
        <w:ind w:hanging="720"/>
        <w:rPr>
          <w:color w:val="auto"/>
        </w:rPr>
      </w:pPr>
      <w:r w:rsidRPr="0012225E">
        <w:rPr>
          <w:color w:val="auto"/>
        </w:rPr>
        <w:t>Whether the</w:t>
      </w:r>
      <w:r w:rsidR="00656608" w:rsidRPr="0012225E">
        <w:rPr>
          <w:color w:val="auto"/>
        </w:rPr>
        <w:t xml:space="preserve"> </w:t>
      </w:r>
      <w:r w:rsidR="000E10A0" w:rsidRPr="0012225E">
        <w:rPr>
          <w:color w:val="auto"/>
        </w:rPr>
        <w:t xml:space="preserve">sample, </w:t>
      </w:r>
      <w:r w:rsidR="00656608" w:rsidRPr="0012225E">
        <w:rPr>
          <w:color w:val="auto"/>
        </w:rPr>
        <w:t xml:space="preserve">delivery schedule, communication plan, and distribution of the survey </w:t>
      </w:r>
      <w:proofErr w:type="gramStart"/>
      <w:r w:rsidR="00180572">
        <w:rPr>
          <w:color w:val="auto"/>
        </w:rPr>
        <w:t>are in compliance</w:t>
      </w:r>
      <w:proofErr w:type="gramEnd"/>
      <w:r w:rsidR="00180572">
        <w:rPr>
          <w:color w:val="auto"/>
        </w:rPr>
        <w:t xml:space="preserve"> or </w:t>
      </w:r>
      <w:r w:rsidR="00656608" w:rsidRPr="0012225E">
        <w:rPr>
          <w:color w:val="auto"/>
        </w:rPr>
        <w:t xml:space="preserve">conflict </w:t>
      </w:r>
      <w:r w:rsidR="00180572">
        <w:rPr>
          <w:color w:val="auto"/>
        </w:rPr>
        <w:t xml:space="preserve">with other </w:t>
      </w:r>
      <w:r w:rsidR="00656608" w:rsidRPr="0012225E">
        <w:rPr>
          <w:color w:val="auto"/>
        </w:rPr>
        <w:t>surveys in the survey calendar.</w:t>
      </w:r>
    </w:p>
    <w:p w14:paraId="4C9CE748" w14:textId="6AB2604A" w:rsidR="00656608" w:rsidRPr="0012225E" w:rsidRDefault="00656608" w:rsidP="00055F52">
      <w:pPr>
        <w:pStyle w:val="Heading4"/>
        <w:ind w:hanging="720"/>
        <w:rPr>
          <w:color w:val="auto"/>
        </w:rPr>
      </w:pPr>
      <w:r w:rsidRPr="0012225E">
        <w:rPr>
          <w:color w:val="auto"/>
        </w:rPr>
        <w:t xml:space="preserve">The length of the proposed survey is </w:t>
      </w:r>
      <w:r w:rsidR="00C96759" w:rsidRPr="0012225E">
        <w:rPr>
          <w:color w:val="auto"/>
        </w:rPr>
        <w:t>short, allowing for completion within 20 minutes or less, and</w:t>
      </w:r>
      <w:r w:rsidRPr="0012225E">
        <w:rPr>
          <w:color w:val="auto"/>
        </w:rPr>
        <w:t xml:space="preserve"> the content does not duplicate or is not redundant with </w:t>
      </w:r>
      <w:r w:rsidR="00DB39CA" w:rsidRPr="0012225E">
        <w:rPr>
          <w:color w:val="auto"/>
        </w:rPr>
        <w:t>known</w:t>
      </w:r>
      <w:r w:rsidRPr="0012225E">
        <w:rPr>
          <w:color w:val="auto"/>
        </w:rPr>
        <w:t xml:space="preserve"> information.</w:t>
      </w:r>
    </w:p>
    <w:p w14:paraId="403B031B" w14:textId="2FDDEDD4" w:rsidR="006D763B" w:rsidRPr="0012225E" w:rsidRDefault="000E10A0" w:rsidP="00055F52">
      <w:pPr>
        <w:pStyle w:val="Heading4"/>
        <w:ind w:hanging="720"/>
        <w:rPr>
          <w:color w:val="auto"/>
        </w:rPr>
      </w:pPr>
      <w:r w:rsidRPr="0012225E">
        <w:rPr>
          <w:color w:val="auto"/>
        </w:rPr>
        <w:t xml:space="preserve">The survey </w:t>
      </w:r>
      <w:r w:rsidR="004572E8" w:rsidRPr="0012225E">
        <w:rPr>
          <w:color w:val="auto"/>
        </w:rPr>
        <w:t>acquire</w:t>
      </w:r>
      <w:r w:rsidRPr="0012225E">
        <w:rPr>
          <w:color w:val="auto"/>
        </w:rPr>
        <w:t>s</w:t>
      </w:r>
      <w:r w:rsidR="004572E8" w:rsidRPr="0012225E">
        <w:rPr>
          <w:color w:val="auto"/>
        </w:rPr>
        <w:t xml:space="preserve"> </w:t>
      </w:r>
      <w:r w:rsidR="00670F83" w:rsidRPr="0012225E">
        <w:rPr>
          <w:color w:val="auto"/>
        </w:rPr>
        <w:t>informed consent which outlines risks and benefits to participants</w:t>
      </w:r>
      <w:r w:rsidRPr="0012225E">
        <w:rPr>
          <w:color w:val="auto"/>
        </w:rPr>
        <w:t xml:space="preserve">, </w:t>
      </w:r>
      <w:r w:rsidR="00FB3F28" w:rsidRPr="0012225E">
        <w:rPr>
          <w:color w:val="auto"/>
        </w:rPr>
        <w:t>includes notification of</w:t>
      </w:r>
      <w:r w:rsidR="00DB39CA" w:rsidRPr="0012225E">
        <w:rPr>
          <w:color w:val="auto"/>
        </w:rPr>
        <w:t xml:space="preserve"> or probability of receiving </w:t>
      </w:r>
      <w:r w:rsidR="00FB3F28" w:rsidRPr="0012225E">
        <w:rPr>
          <w:color w:val="auto"/>
        </w:rPr>
        <w:t xml:space="preserve">monetary or gift-in-kind incentives, </w:t>
      </w:r>
      <w:r w:rsidRPr="0012225E">
        <w:rPr>
          <w:color w:val="auto"/>
        </w:rPr>
        <w:t xml:space="preserve">guarantees </w:t>
      </w:r>
      <w:r w:rsidR="004572E8" w:rsidRPr="0012225E">
        <w:rPr>
          <w:color w:val="auto"/>
        </w:rPr>
        <w:t xml:space="preserve">voluntary </w:t>
      </w:r>
      <w:r w:rsidRPr="0012225E">
        <w:rPr>
          <w:color w:val="auto"/>
        </w:rPr>
        <w:t xml:space="preserve">participation, and clarifies confidentiality versus anonymity when necessary.   </w:t>
      </w:r>
    </w:p>
    <w:p w14:paraId="5E21B41F" w14:textId="7A1715D6" w:rsidR="004572E8" w:rsidRPr="0012225E" w:rsidRDefault="004572E8" w:rsidP="00055F52">
      <w:pPr>
        <w:pStyle w:val="Heading4"/>
        <w:ind w:hanging="720"/>
        <w:rPr>
          <w:color w:val="auto"/>
        </w:rPr>
      </w:pPr>
      <w:r w:rsidRPr="0012225E">
        <w:rPr>
          <w:color w:val="auto"/>
        </w:rPr>
        <w:lastRenderedPageBreak/>
        <w:t xml:space="preserve">The survey contains </w:t>
      </w:r>
      <w:r w:rsidR="006575FC" w:rsidRPr="0012225E">
        <w:rPr>
          <w:color w:val="auto"/>
        </w:rPr>
        <w:t xml:space="preserve">appropriate </w:t>
      </w:r>
      <w:r w:rsidRPr="0012225E">
        <w:rPr>
          <w:color w:val="auto"/>
        </w:rPr>
        <w:t>contact information</w:t>
      </w:r>
      <w:r w:rsidR="006575FC" w:rsidRPr="0012225E">
        <w:rPr>
          <w:color w:val="auto"/>
        </w:rPr>
        <w:t xml:space="preserve">, technical </w:t>
      </w:r>
      <w:r w:rsidRPr="0012225E">
        <w:rPr>
          <w:color w:val="auto"/>
        </w:rPr>
        <w:t>support</w:t>
      </w:r>
      <w:r w:rsidR="006575FC" w:rsidRPr="0012225E">
        <w:rPr>
          <w:color w:val="auto"/>
        </w:rPr>
        <w:t>, and any necessary debriefing or referral resources.</w:t>
      </w:r>
    </w:p>
    <w:p w14:paraId="3F68533B" w14:textId="4E62B681" w:rsidR="00670F83" w:rsidRPr="0012225E" w:rsidRDefault="00FB3F28" w:rsidP="00055F52">
      <w:pPr>
        <w:pStyle w:val="Heading4"/>
        <w:ind w:hanging="720"/>
        <w:rPr>
          <w:color w:val="auto"/>
        </w:rPr>
      </w:pPr>
      <w:r w:rsidRPr="0012225E">
        <w:rPr>
          <w:color w:val="auto"/>
        </w:rPr>
        <w:t>The proposal includes a description of how the results will be used, applied, posted, or published</w:t>
      </w:r>
      <w:r w:rsidR="001A210F" w:rsidRPr="0012225E">
        <w:rPr>
          <w:color w:val="auto"/>
        </w:rPr>
        <w:t xml:space="preserve"> and ensures sensitive information will not be inadvertently disclosed.</w:t>
      </w:r>
    </w:p>
    <w:p w14:paraId="2FC4B31D" w14:textId="06EDF267" w:rsidR="006D763B" w:rsidRPr="0012225E" w:rsidRDefault="00922113" w:rsidP="00055F52">
      <w:pPr>
        <w:pStyle w:val="Heading4"/>
        <w:ind w:hanging="720"/>
        <w:rPr>
          <w:color w:val="auto"/>
        </w:rPr>
      </w:pPr>
      <w:r w:rsidRPr="00180572">
        <w:rPr>
          <w:b/>
          <w:bCs/>
          <w:color w:val="auto"/>
        </w:rPr>
        <w:t xml:space="preserve">All parties involved in the survey research shall complete </w:t>
      </w:r>
      <w:r w:rsidR="00DE4D8C" w:rsidRPr="00180572">
        <w:rPr>
          <w:b/>
          <w:bCs/>
          <w:color w:val="auto"/>
        </w:rPr>
        <w:t>FERPA and CITI training</w:t>
      </w:r>
      <w:r w:rsidRPr="00180572">
        <w:rPr>
          <w:b/>
          <w:bCs/>
          <w:color w:val="auto"/>
        </w:rPr>
        <w:t xml:space="preserve">s </w:t>
      </w:r>
      <w:r w:rsidR="00180572">
        <w:rPr>
          <w:b/>
          <w:bCs/>
          <w:color w:val="auto"/>
        </w:rPr>
        <w:t>prior to survey administration</w:t>
      </w:r>
      <w:r w:rsidRPr="00180572">
        <w:rPr>
          <w:b/>
          <w:bCs/>
          <w:color w:val="auto"/>
        </w:rPr>
        <w:t>.</w:t>
      </w:r>
      <w:r w:rsidRPr="0012225E">
        <w:rPr>
          <w:color w:val="auto"/>
        </w:rPr>
        <w:t xml:space="preserve"> </w:t>
      </w:r>
      <w:r w:rsidR="004B609E" w:rsidRPr="0012225E">
        <w:rPr>
          <w:color w:val="auto"/>
        </w:rPr>
        <w:t xml:space="preserve">The FERPA training is </w:t>
      </w:r>
      <w:r w:rsidRPr="0012225E">
        <w:rPr>
          <w:color w:val="auto"/>
        </w:rPr>
        <w:t>available</w:t>
      </w:r>
      <w:r w:rsidR="00DE4D8C" w:rsidRPr="0012225E">
        <w:rPr>
          <w:color w:val="auto"/>
        </w:rPr>
        <w:t xml:space="preserve"> </w:t>
      </w:r>
      <w:r w:rsidR="004B609E" w:rsidRPr="0012225E">
        <w:rPr>
          <w:color w:val="auto"/>
        </w:rPr>
        <w:t xml:space="preserve">online via Skillsoft in the </w:t>
      </w:r>
      <w:proofErr w:type="spellStart"/>
      <w:r w:rsidR="004B609E" w:rsidRPr="0012225E">
        <w:rPr>
          <w:color w:val="auto"/>
        </w:rPr>
        <w:t>myUCCS</w:t>
      </w:r>
      <w:proofErr w:type="spellEnd"/>
      <w:r w:rsidR="004B609E" w:rsidRPr="0012225E">
        <w:rPr>
          <w:color w:val="auto"/>
        </w:rPr>
        <w:t xml:space="preserve"> portal and is listed </w:t>
      </w:r>
      <w:r w:rsidRPr="0012225E">
        <w:rPr>
          <w:color w:val="auto"/>
        </w:rPr>
        <w:t xml:space="preserve">as </w:t>
      </w:r>
      <w:proofErr w:type="gramStart"/>
      <w:r w:rsidR="004B609E" w:rsidRPr="0012225E">
        <w:rPr>
          <w:color w:val="auto"/>
        </w:rPr>
        <w:t>CU:FERPA</w:t>
      </w:r>
      <w:proofErr w:type="gramEnd"/>
      <w:r w:rsidR="004B609E" w:rsidRPr="0012225E">
        <w:rPr>
          <w:color w:val="auto"/>
        </w:rPr>
        <w:t>. The IRB training is online via the CITI Program and is accessible from the UCCS Sponsored Research</w:t>
      </w:r>
      <w:r w:rsidR="005B664F" w:rsidRPr="0012225E">
        <w:rPr>
          <w:color w:val="auto"/>
        </w:rPr>
        <w:t xml:space="preserve"> website</w:t>
      </w:r>
      <w:r w:rsidR="004B609E" w:rsidRPr="0012225E">
        <w:rPr>
          <w:color w:val="auto"/>
        </w:rPr>
        <w:t xml:space="preserve">. </w:t>
      </w:r>
    </w:p>
    <w:p w14:paraId="7A319531" w14:textId="6C61AC39" w:rsidR="00FE5271" w:rsidRPr="0012225E" w:rsidRDefault="00FE5271" w:rsidP="00055F52">
      <w:pPr>
        <w:pStyle w:val="Heading2"/>
        <w:ind w:hanging="720"/>
        <w:rPr>
          <w:color w:val="auto"/>
          <w:sz w:val="24"/>
          <w:szCs w:val="24"/>
        </w:rPr>
      </w:pPr>
      <w:r w:rsidRPr="0012225E">
        <w:rPr>
          <w:color w:val="auto"/>
          <w:sz w:val="24"/>
          <w:szCs w:val="24"/>
        </w:rPr>
        <w:t xml:space="preserve">Off-campus or third parties wishing to conduct a survey of UCCS students, alumni, faculty, or staff must collaborate with an active UCCS employee who is responsible for coordinating with the Survey Committee and submitting the Survey </w:t>
      </w:r>
      <w:r w:rsidR="00180572">
        <w:rPr>
          <w:color w:val="auto"/>
          <w:sz w:val="24"/>
          <w:szCs w:val="24"/>
        </w:rPr>
        <w:t>Intake</w:t>
      </w:r>
      <w:r w:rsidRPr="0012225E">
        <w:rPr>
          <w:color w:val="auto"/>
          <w:sz w:val="24"/>
          <w:szCs w:val="24"/>
        </w:rPr>
        <w:t xml:space="preserve"> Form to the Survey Committee.</w:t>
      </w:r>
    </w:p>
    <w:p w14:paraId="03C473EA" w14:textId="26C689F6" w:rsidR="00661866" w:rsidRPr="00180572" w:rsidRDefault="00661866" w:rsidP="00055F52">
      <w:pPr>
        <w:pStyle w:val="Heading2"/>
        <w:ind w:hanging="720"/>
        <w:rPr>
          <w:color w:val="auto"/>
          <w:sz w:val="24"/>
          <w:szCs w:val="24"/>
        </w:rPr>
      </w:pPr>
      <w:r w:rsidRPr="0012225E">
        <w:rPr>
          <w:color w:val="auto"/>
          <w:sz w:val="24"/>
          <w:szCs w:val="24"/>
        </w:rPr>
        <w:t>The Institutional Research Office will maintain a website that contains a calendar of core surveys, summarized results (when appropriate), resources for best practices in survey design, and related procedures and policies.</w:t>
      </w:r>
      <w:r w:rsidR="00071F81" w:rsidRPr="0012225E">
        <w:rPr>
          <w:color w:val="auto"/>
          <w:sz w:val="24"/>
          <w:szCs w:val="24"/>
        </w:rPr>
        <w:t xml:space="preserve"> The site URL is </w:t>
      </w:r>
      <w:hyperlink r:id="rId8" w:history="1">
        <w:r w:rsidR="00180572" w:rsidRPr="00180572">
          <w:rPr>
            <w:rStyle w:val="Hyperlink"/>
            <w:sz w:val="24"/>
            <w:szCs w:val="24"/>
          </w:rPr>
          <w:t>https://www.uccs.edu/ir/data/surveys</w:t>
        </w:r>
      </w:hyperlink>
      <w:r w:rsidR="00071F81" w:rsidRPr="00180572">
        <w:rPr>
          <w:color w:val="auto"/>
          <w:sz w:val="24"/>
          <w:szCs w:val="24"/>
        </w:rPr>
        <w:t>.</w:t>
      </w:r>
    </w:p>
    <w:p w14:paraId="36062DA4" w14:textId="77777777" w:rsidR="00170C3B" w:rsidRPr="0012225E" w:rsidRDefault="00170C3B" w:rsidP="00170C3B">
      <w:pPr>
        <w:pStyle w:val="Heading2"/>
        <w:ind w:hanging="720"/>
        <w:rPr>
          <w:color w:val="auto"/>
          <w:sz w:val="24"/>
          <w:szCs w:val="24"/>
        </w:rPr>
      </w:pPr>
      <w:r w:rsidRPr="0012225E">
        <w:rPr>
          <w:color w:val="auto"/>
          <w:sz w:val="24"/>
          <w:szCs w:val="24"/>
        </w:rPr>
        <w:t xml:space="preserve">Results of the Survey Committee review are final although revised proposals may be resubmitted for reconsideration. </w:t>
      </w:r>
    </w:p>
    <w:p w14:paraId="4F054692" w14:textId="559C861B" w:rsidR="00470AEE" w:rsidRPr="0012225E" w:rsidRDefault="00470AEE" w:rsidP="00470AEE">
      <w:pPr>
        <w:spacing w:after="0"/>
        <w:rPr>
          <w:rFonts w:asciiTheme="majorHAnsi" w:hAnsiTheme="majorHAnsi" w:cstheme="majorHAnsi"/>
          <w:color w:val="00B050"/>
        </w:rPr>
      </w:pPr>
    </w:p>
    <w:p w14:paraId="217C7BA6" w14:textId="22C3F460" w:rsidR="0046128D" w:rsidRPr="0012225E" w:rsidRDefault="008827D2" w:rsidP="0040428C">
      <w:pPr>
        <w:rPr>
          <w:rFonts w:asciiTheme="majorHAnsi" w:hAnsiTheme="majorHAnsi" w:cstheme="majorHAnsi"/>
        </w:rPr>
      </w:pPr>
      <w:r w:rsidRPr="0012225E">
        <w:rPr>
          <w:rFonts w:asciiTheme="majorHAnsi" w:hAnsiTheme="majorHAnsi" w:cstheme="majorHAnsi"/>
        </w:rPr>
        <w:t xml:space="preserve">Survey </w:t>
      </w:r>
      <w:r w:rsidR="00180572">
        <w:rPr>
          <w:rFonts w:asciiTheme="majorHAnsi" w:hAnsiTheme="majorHAnsi" w:cstheme="majorHAnsi"/>
        </w:rPr>
        <w:t xml:space="preserve">Hub </w:t>
      </w:r>
      <w:r w:rsidR="00C3030E" w:rsidRPr="0012225E">
        <w:rPr>
          <w:rFonts w:asciiTheme="majorHAnsi" w:hAnsiTheme="majorHAnsi" w:cstheme="majorHAnsi"/>
        </w:rPr>
        <w:t>Website:</w:t>
      </w:r>
    </w:p>
    <w:p w14:paraId="194E9403" w14:textId="77777777" w:rsidR="00544C43" w:rsidRPr="0012225E" w:rsidRDefault="00544C43" w:rsidP="00C3030E">
      <w:pPr>
        <w:pStyle w:val="ListParagraph"/>
        <w:numPr>
          <w:ilvl w:val="0"/>
          <w:numId w:val="11"/>
        </w:numPr>
        <w:rPr>
          <w:rFonts w:asciiTheme="majorHAnsi" w:hAnsiTheme="majorHAnsi" w:cstheme="majorHAnsi"/>
        </w:rPr>
      </w:pPr>
      <w:r w:rsidRPr="0012225E">
        <w:rPr>
          <w:rFonts w:asciiTheme="majorHAnsi" w:hAnsiTheme="majorHAnsi" w:cstheme="majorHAnsi"/>
        </w:rPr>
        <w:t>Survey Committee Charge (this document)</w:t>
      </w:r>
    </w:p>
    <w:p w14:paraId="1FA226C8" w14:textId="60F7B102" w:rsidR="00C3030E" w:rsidRPr="0012225E" w:rsidRDefault="00C3030E" w:rsidP="00C3030E">
      <w:pPr>
        <w:pStyle w:val="ListParagraph"/>
        <w:numPr>
          <w:ilvl w:val="0"/>
          <w:numId w:val="11"/>
        </w:numPr>
        <w:rPr>
          <w:rFonts w:asciiTheme="majorHAnsi" w:hAnsiTheme="majorHAnsi" w:cstheme="majorHAnsi"/>
        </w:rPr>
      </w:pPr>
      <w:r w:rsidRPr="0012225E">
        <w:rPr>
          <w:rFonts w:asciiTheme="majorHAnsi" w:hAnsiTheme="majorHAnsi" w:cstheme="majorHAnsi"/>
        </w:rPr>
        <w:t>Survey Proposal Form</w:t>
      </w:r>
    </w:p>
    <w:p w14:paraId="499A7CEB" w14:textId="155061AB" w:rsidR="00C3030E" w:rsidRPr="0012225E" w:rsidRDefault="00C3030E" w:rsidP="00C3030E">
      <w:pPr>
        <w:pStyle w:val="ListParagraph"/>
        <w:numPr>
          <w:ilvl w:val="0"/>
          <w:numId w:val="11"/>
        </w:numPr>
        <w:rPr>
          <w:rFonts w:asciiTheme="majorHAnsi" w:hAnsiTheme="majorHAnsi" w:cstheme="majorHAnsi"/>
        </w:rPr>
      </w:pPr>
      <w:r w:rsidRPr="0012225E">
        <w:rPr>
          <w:rFonts w:asciiTheme="majorHAnsi" w:hAnsiTheme="majorHAnsi" w:cstheme="majorHAnsi"/>
        </w:rPr>
        <w:t>Survey Calendar</w:t>
      </w:r>
      <w:r w:rsidR="00013972" w:rsidRPr="0012225E">
        <w:rPr>
          <w:rFonts w:asciiTheme="majorHAnsi" w:hAnsiTheme="majorHAnsi" w:cstheme="majorHAnsi"/>
        </w:rPr>
        <w:t>, with core surveys identified</w:t>
      </w:r>
    </w:p>
    <w:p w14:paraId="04B3FEB1" w14:textId="68BC3F3B" w:rsidR="00C3030E" w:rsidRPr="0012225E" w:rsidRDefault="00C3030E" w:rsidP="00C3030E">
      <w:pPr>
        <w:pStyle w:val="ListParagraph"/>
        <w:numPr>
          <w:ilvl w:val="0"/>
          <w:numId w:val="11"/>
        </w:numPr>
        <w:rPr>
          <w:rFonts w:asciiTheme="majorHAnsi" w:hAnsiTheme="majorHAnsi" w:cstheme="majorHAnsi"/>
        </w:rPr>
      </w:pPr>
      <w:r w:rsidRPr="0012225E">
        <w:rPr>
          <w:rFonts w:asciiTheme="majorHAnsi" w:hAnsiTheme="majorHAnsi" w:cstheme="majorHAnsi"/>
        </w:rPr>
        <w:t>Survey Results</w:t>
      </w:r>
    </w:p>
    <w:p w14:paraId="492A3A70" w14:textId="25063D4D" w:rsidR="005D73D8" w:rsidRPr="00180572" w:rsidRDefault="00142538" w:rsidP="00180572">
      <w:pPr>
        <w:pStyle w:val="ListParagraph"/>
        <w:numPr>
          <w:ilvl w:val="0"/>
          <w:numId w:val="11"/>
        </w:numPr>
        <w:rPr>
          <w:rFonts w:asciiTheme="majorHAnsi" w:hAnsiTheme="majorHAnsi" w:cstheme="majorHAnsi"/>
        </w:rPr>
      </w:pPr>
      <w:r w:rsidRPr="0012225E">
        <w:rPr>
          <w:rFonts w:asciiTheme="majorHAnsi" w:hAnsiTheme="majorHAnsi" w:cstheme="majorHAnsi"/>
        </w:rPr>
        <w:t>Training Resources (</w:t>
      </w:r>
      <w:proofErr w:type="gramStart"/>
      <w:r w:rsidRPr="0012225E">
        <w:rPr>
          <w:rFonts w:asciiTheme="majorHAnsi" w:hAnsiTheme="majorHAnsi" w:cstheme="majorHAnsi"/>
        </w:rPr>
        <w:t>CU:FERPA</w:t>
      </w:r>
      <w:proofErr w:type="gramEnd"/>
      <w:r w:rsidRPr="0012225E">
        <w:rPr>
          <w:rFonts w:asciiTheme="majorHAnsi" w:hAnsiTheme="majorHAnsi" w:cstheme="majorHAnsi"/>
        </w:rPr>
        <w:t xml:space="preserve"> and CITI)</w:t>
      </w:r>
    </w:p>
    <w:sectPr w:rsidR="005D73D8" w:rsidRPr="00180572" w:rsidSect="0000414D">
      <w:headerReference w:type="default" r:id="rId9"/>
      <w:footerReference w:type="default" r:id="rId10"/>
      <w:pgSz w:w="12240" w:h="15840"/>
      <w:pgMar w:top="720" w:right="720" w:bottom="720" w:left="720" w:header="630" w:footer="4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04E9A" w14:textId="77777777" w:rsidR="00D74223" w:rsidRDefault="00D74223" w:rsidP="00BA16C1">
      <w:pPr>
        <w:spacing w:after="0"/>
      </w:pPr>
      <w:r>
        <w:separator/>
      </w:r>
    </w:p>
  </w:endnote>
  <w:endnote w:type="continuationSeparator" w:id="0">
    <w:p w14:paraId="53F27A63" w14:textId="77777777" w:rsidR="00D74223" w:rsidRDefault="00D74223"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Neue">
    <w:altName w:val="Malgun Gothic"/>
    <w:charset w:val="00"/>
    <w:family w:val="auto"/>
    <w:pitch w:val="variable"/>
    <w:sig w:usb0="00000003" w:usb1="00000000" w:usb2="00000000" w:usb3="00000000" w:csb0="00000001" w:csb1="00000000"/>
  </w:font>
  <w:font w:name="Helvetica Light">
    <w:altName w:val="Arial Nova Light"/>
    <w:charset w:val="00"/>
    <w:family w:val="auto"/>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D3491" w14:textId="77777777" w:rsidR="00BA16C1" w:rsidRPr="00425EFF" w:rsidRDefault="00BA16C1" w:rsidP="00BA16C1">
    <w:pPr>
      <w:pStyle w:val="Footer"/>
      <w:jc w:val="center"/>
      <w:rPr>
        <w:rFonts w:ascii="Arial" w:hAnsi="Arial"/>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03AE4" w14:textId="77777777" w:rsidR="00D74223" w:rsidRDefault="00D74223" w:rsidP="00BA16C1">
      <w:pPr>
        <w:spacing w:after="0"/>
      </w:pPr>
      <w:r>
        <w:separator/>
      </w:r>
    </w:p>
  </w:footnote>
  <w:footnote w:type="continuationSeparator" w:id="0">
    <w:p w14:paraId="3A201274" w14:textId="77777777" w:rsidR="00D74223" w:rsidRDefault="00D74223" w:rsidP="00BA1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92C8" w14:textId="77777777" w:rsidR="00A86A07" w:rsidRPr="00A86A07" w:rsidRDefault="00BB4378" w:rsidP="00A86A07">
    <w:pPr>
      <w:pStyle w:val="Footer"/>
      <w:ind w:left="7560"/>
      <w:rPr>
        <w:rFonts w:ascii="Helvetica Neue" w:hAnsi="Helvetica Neue"/>
        <w:b/>
        <w:sz w:val="20"/>
        <w:szCs w:val="20"/>
      </w:rPr>
    </w:pPr>
    <w:r w:rsidRPr="00A86A07">
      <w:rPr>
        <w:rFonts w:ascii="Helvetica Neue" w:hAnsi="Helvetica Neue"/>
        <w:b/>
        <w:noProof/>
        <w:sz w:val="20"/>
        <w:szCs w:val="20"/>
        <w:lang w:eastAsia="en-US"/>
      </w:rPr>
      <w:drawing>
        <wp:anchor distT="0" distB="0" distL="114300" distR="114300" simplePos="0" relativeHeight="251658240" behindDoc="0" locked="0" layoutInCell="1" allowOverlap="1" wp14:anchorId="2544A2F7" wp14:editId="552CB133">
          <wp:simplePos x="0" y="0"/>
          <wp:positionH relativeFrom="column">
            <wp:posOffset>0</wp:posOffset>
          </wp:positionH>
          <wp:positionV relativeFrom="paragraph">
            <wp:posOffset>2540</wp:posOffset>
          </wp:positionV>
          <wp:extent cx="2964815" cy="409575"/>
          <wp:effectExtent l="0" t="0" r="6985" b="0"/>
          <wp:wrapSquare wrapText="bothSides"/>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481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3E3">
      <w:rPr>
        <w:rFonts w:ascii="Helvetica Neue" w:hAnsi="Helvetica Neue"/>
        <w:b/>
        <w:sz w:val="20"/>
        <w:szCs w:val="20"/>
      </w:rPr>
      <w:t>Institutional Research</w:t>
    </w:r>
  </w:p>
  <w:p w14:paraId="3BDAB65B" w14:textId="77777777" w:rsidR="00A86A07" w:rsidRPr="00A86A07" w:rsidRDefault="00B553E3" w:rsidP="00A86A07">
    <w:pPr>
      <w:pStyle w:val="Footer"/>
      <w:ind w:left="7560"/>
      <w:rPr>
        <w:rFonts w:ascii="Helvetica Light" w:hAnsi="Helvetica Light"/>
        <w:color w:val="595959" w:themeColor="text1" w:themeTint="A6"/>
        <w:sz w:val="18"/>
        <w:szCs w:val="18"/>
      </w:rPr>
    </w:pPr>
    <w:r>
      <w:rPr>
        <w:rFonts w:ascii="Helvetica Light" w:hAnsi="Helvetica Light"/>
        <w:sz w:val="18"/>
        <w:szCs w:val="18"/>
      </w:rPr>
      <w:t>Main Hall 410</w:t>
    </w:r>
    <w:r w:rsidR="00A86A07" w:rsidRPr="00A86A07">
      <w:rPr>
        <w:rFonts w:ascii="Helvetica Light" w:hAnsi="Helvetica Light"/>
        <w:color w:val="595959" w:themeColor="text1" w:themeTint="A6"/>
        <w:sz w:val="18"/>
        <w:szCs w:val="18"/>
      </w:rPr>
      <w:br/>
    </w:r>
    <w:r w:rsidR="00A86A07" w:rsidRPr="00A86A07">
      <w:rPr>
        <w:rFonts w:ascii="Helvetica Light" w:hAnsi="Helvetica Light"/>
        <w:sz w:val="18"/>
        <w:szCs w:val="18"/>
      </w:rPr>
      <w:t xml:space="preserve">1420 Austin Bluffs Pkwy. </w:t>
    </w:r>
    <w:r w:rsidR="00A86A07" w:rsidRPr="00A86A07">
      <w:rPr>
        <w:rFonts w:ascii="Helvetica Light" w:hAnsi="Helvetica Light"/>
        <w:color w:val="BAA564"/>
        <w:sz w:val="18"/>
        <w:szCs w:val="18"/>
      </w:rPr>
      <w:br/>
    </w:r>
    <w:r w:rsidR="00A86A07" w:rsidRPr="00A86A07">
      <w:rPr>
        <w:rFonts w:ascii="Helvetica Light" w:hAnsi="Helvetica Light"/>
        <w:sz w:val="18"/>
        <w:szCs w:val="18"/>
      </w:rPr>
      <w:t>Colorado Springs, CO 80918</w:t>
    </w:r>
  </w:p>
  <w:p w14:paraId="5092A7A2" w14:textId="77777777" w:rsidR="00A86A07" w:rsidRPr="00A86A07" w:rsidRDefault="00B553E3" w:rsidP="00A86A07">
    <w:pPr>
      <w:pStyle w:val="Footer"/>
      <w:ind w:left="7560"/>
      <w:rPr>
        <w:rFonts w:ascii="Helvetica Light" w:hAnsi="Helvetica Light"/>
        <w:color w:val="595959" w:themeColor="text1" w:themeTint="A6"/>
        <w:sz w:val="18"/>
        <w:szCs w:val="18"/>
      </w:rPr>
    </w:pPr>
    <w:r>
      <w:rPr>
        <w:rFonts w:ascii="Helvetica Light" w:hAnsi="Helvetica Light"/>
        <w:sz w:val="18"/>
        <w:szCs w:val="18"/>
      </w:rPr>
      <w:t>719-255-3640</w:t>
    </w:r>
    <w:r w:rsidR="00A86A07" w:rsidRPr="00A86A07">
      <w:rPr>
        <w:rFonts w:ascii="Helvetica Light" w:hAnsi="Helvetica Light"/>
        <w:color w:val="595959" w:themeColor="text1" w:themeTint="A6"/>
        <w:sz w:val="18"/>
        <w:szCs w:val="18"/>
      </w:rPr>
      <w:t xml:space="preserve"> </w:t>
    </w:r>
    <w:r w:rsidR="00D87A47">
      <w:rPr>
        <w:rFonts w:ascii="Helvetica Light" w:hAnsi="Helvetica Light"/>
        <w:color w:val="595959" w:themeColor="text1" w:themeTint="A6"/>
        <w:sz w:val="18"/>
        <w:szCs w:val="18"/>
      </w:rPr>
      <w:t xml:space="preserve">| </w:t>
    </w:r>
    <w:r w:rsidR="00D87A47" w:rsidRPr="00D87A47">
      <w:rPr>
        <w:rFonts w:ascii="Helvetica Light" w:hAnsi="Helvetica Light"/>
        <w:sz w:val="18"/>
        <w:szCs w:val="18"/>
      </w:rPr>
      <w:t>rmarschk@uccs.edu</w:t>
    </w:r>
    <w:r w:rsidR="00D87A47">
      <w:rPr>
        <w:rFonts w:ascii="Helvetica Light" w:hAnsi="Helvetica Light"/>
        <w:sz w:val="18"/>
        <w:szCs w:val="18"/>
      </w:rPr>
      <w:br/>
      <w:t>www.uccs.edu/ir</w:t>
    </w:r>
  </w:p>
  <w:p w14:paraId="2535E53E" w14:textId="77777777" w:rsidR="00BA16C1" w:rsidRPr="00BA16C1" w:rsidRDefault="00BA16C1" w:rsidP="00A86A07">
    <w:pPr>
      <w:pStyle w:val="Header"/>
      <w:jc w:val="right"/>
      <w:rPr>
        <w:rFonts w:ascii="Arial" w:hAnsi="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3CD3"/>
    <w:multiLevelType w:val="hybridMultilevel"/>
    <w:tmpl w:val="3D229BBA"/>
    <w:lvl w:ilvl="0" w:tplc="859C239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51A83"/>
    <w:multiLevelType w:val="hybridMultilevel"/>
    <w:tmpl w:val="ADD677BC"/>
    <w:lvl w:ilvl="0" w:tplc="513847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080CE7"/>
    <w:multiLevelType w:val="hybridMultilevel"/>
    <w:tmpl w:val="96A6C3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C7"/>
    <w:multiLevelType w:val="hybridMultilevel"/>
    <w:tmpl w:val="96CC9AEC"/>
    <w:lvl w:ilvl="0" w:tplc="513847A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127158"/>
    <w:multiLevelType w:val="multilevel"/>
    <w:tmpl w:val="04090027"/>
    <w:lvl w:ilvl="0">
      <w:start w:val="1"/>
      <w:numFmt w:val="upperRoman"/>
      <w:pStyle w:val="Heading1"/>
      <w:lvlText w:val="%1."/>
      <w:lvlJc w:val="left"/>
      <w:pPr>
        <w:ind w:left="720" w:firstLine="0"/>
      </w:p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5" w15:restartNumberingAfterBreak="0">
    <w:nsid w:val="4BF54938"/>
    <w:multiLevelType w:val="hybridMultilevel"/>
    <w:tmpl w:val="44CA44C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922037"/>
    <w:multiLevelType w:val="hybridMultilevel"/>
    <w:tmpl w:val="87E02B28"/>
    <w:lvl w:ilvl="0" w:tplc="FE12A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E45E3C"/>
    <w:multiLevelType w:val="hybridMultilevel"/>
    <w:tmpl w:val="A1F4A19A"/>
    <w:lvl w:ilvl="0" w:tplc="6F8E2F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7725FD"/>
    <w:multiLevelType w:val="hybridMultilevel"/>
    <w:tmpl w:val="77A0C284"/>
    <w:lvl w:ilvl="0" w:tplc="513847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BE5272"/>
    <w:multiLevelType w:val="hybridMultilevel"/>
    <w:tmpl w:val="41C46404"/>
    <w:lvl w:ilvl="0" w:tplc="520617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147429"/>
    <w:multiLevelType w:val="hybridMultilevel"/>
    <w:tmpl w:val="E102C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6"/>
  </w:num>
  <w:num w:numId="5">
    <w:abstractNumId w:val="9"/>
  </w:num>
  <w:num w:numId="6">
    <w:abstractNumId w:val="2"/>
  </w:num>
  <w:num w:numId="7">
    <w:abstractNumId w:val="3"/>
  </w:num>
  <w:num w:numId="8">
    <w:abstractNumId w:val="1"/>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73"/>
    <w:rsid w:val="00000590"/>
    <w:rsid w:val="00002A52"/>
    <w:rsid w:val="0000414D"/>
    <w:rsid w:val="0000791C"/>
    <w:rsid w:val="00010148"/>
    <w:rsid w:val="00013972"/>
    <w:rsid w:val="0003303D"/>
    <w:rsid w:val="000528E3"/>
    <w:rsid w:val="00054F28"/>
    <w:rsid w:val="00055CB7"/>
    <w:rsid w:val="00055F52"/>
    <w:rsid w:val="00056583"/>
    <w:rsid w:val="00071F81"/>
    <w:rsid w:val="00075454"/>
    <w:rsid w:val="00082C35"/>
    <w:rsid w:val="00084C86"/>
    <w:rsid w:val="000872EC"/>
    <w:rsid w:val="00096549"/>
    <w:rsid w:val="000B3657"/>
    <w:rsid w:val="000D0DCC"/>
    <w:rsid w:val="000E10A0"/>
    <w:rsid w:val="000E25F5"/>
    <w:rsid w:val="000E4CA5"/>
    <w:rsid w:val="000E554A"/>
    <w:rsid w:val="0010626D"/>
    <w:rsid w:val="001072C2"/>
    <w:rsid w:val="0012225E"/>
    <w:rsid w:val="00136B7E"/>
    <w:rsid w:val="00137BA9"/>
    <w:rsid w:val="00142538"/>
    <w:rsid w:val="001514AC"/>
    <w:rsid w:val="00157717"/>
    <w:rsid w:val="001660E7"/>
    <w:rsid w:val="00170C3B"/>
    <w:rsid w:val="00170F4F"/>
    <w:rsid w:val="00174A42"/>
    <w:rsid w:val="001755C2"/>
    <w:rsid w:val="00180572"/>
    <w:rsid w:val="001820F0"/>
    <w:rsid w:val="00182AF0"/>
    <w:rsid w:val="001838D7"/>
    <w:rsid w:val="001878D4"/>
    <w:rsid w:val="00193B79"/>
    <w:rsid w:val="001A106B"/>
    <w:rsid w:val="001A210F"/>
    <w:rsid w:val="001C6A58"/>
    <w:rsid w:val="001E5E13"/>
    <w:rsid w:val="001E77B4"/>
    <w:rsid w:val="00213B98"/>
    <w:rsid w:val="0022108F"/>
    <w:rsid w:val="0023373C"/>
    <w:rsid w:val="00240303"/>
    <w:rsid w:val="002433E0"/>
    <w:rsid w:val="00260CDA"/>
    <w:rsid w:val="00266DFE"/>
    <w:rsid w:val="002810CF"/>
    <w:rsid w:val="002833CC"/>
    <w:rsid w:val="00290CC8"/>
    <w:rsid w:val="002A1198"/>
    <w:rsid w:val="002C4259"/>
    <w:rsid w:val="002D1882"/>
    <w:rsid w:val="002E6AD1"/>
    <w:rsid w:val="0031075E"/>
    <w:rsid w:val="00326F53"/>
    <w:rsid w:val="003400A2"/>
    <w:rsid w:val="00340206"/>
    <w:rsid w:val="00347178"/>
    <w:rsid w:val="0035553D"/>
    <w:rsid w:val="0036187F"/>
    <w:rsid w:val="00363B6B"/>
    <w:rsid w:val="0038318B"/>
    <w:rsid w:val="00383EA6"/>
    <w:rsid w:val="00394669"/>
    <w:rsid w:val="003A1BFB"/>
    <w:rsid w:val="003A332D"/>
    <w:rsid w:val="003C0E14"/>
    <w:rsid w:val="003C458B"/>
    <w:rsid w:val="003C6449"/>
    <w:rsid w:val="003C6736"/>
    <w:rsid w:val="003D040F"/>
    <w:rsid w:val="003E36F1"/>
    <w:rsid w:val="003E7594"/>
    <w:rsid w:val="003F5A66"/>
    <w:rsid w:val="0040428C"/>
    <w:rsid w:val="00411297"/>
    <w:rsid w:val="00425EFF"/>
    <w:rsid w:val="00441A4B"/>
    <w:rsid w:val="00446BA0"/>
    <w:rsid w:val="00451B81"/>
    <w:rsid w:val="004572E8"/>
    <w:rsid w:val="0046128D"/>
    <w:rsid w:val="0046439F"/>
    <w:rsid w:val="00470AEE"/>
    <w:rsid w:val="00483ECC"/>
    <w:rsid w:val="00486C9A"/>
    <w:rsid w:val="00494FB7"/>
    <w:rsid w:val="004A7027"/>
    <w:rsid w:val="004B609E"/>
    <w:rsid w:val="004B64A8"/>
    <w:rsid w:val="004D20FB"/>
    <w:rsid w:val="004D4744"/>
    <w:rsid w:val="004E01D5"/>
    <w:rsid w:val="004E0E86"/>
    <w:rsid w:val="004F55CA"/>
    <w:rsid w:val="005006DE"/>
    <w:rsid w:val="00504B79"/>
    <w:rsid w:val="005054F6"/>
    <w:rsid w:val="00524312"/>
    <w:rsid w:val="0053587A"/>
    <w:rsid w:val="00544C43"/>
    <w:rsid w:val="00550471"/>
    <w:rsid w:val="00560B75"/>
    <w:rsid w:val="00560D79"/>
    <w:rsid w:val="00593357"/>
    <w:rsid w:val="00597C06"/>
    <w:rsid w:val="005A3BE7"/>
    <w:rsid w:val="005B3BB0"/>
    <w:rsid w:val="005B664F"/>
    <w:rsid w:val="005B7BC6"/>
    <w:rsid w:val="005C564C"/>
    <w:rsid w:val="005D18E1"/>
    <w:rsid w:val="005D4941"/>
    <w:rsid w:val="005D73D8"/>
    <w:rsid w:val="005F25FA"/>
    <w:rsid w:val="00601513"/>
    <w:rsid w:val="00601A0A"/>
    <w:rsid w:val="00612ABB"/>
    <w:rsid w:val="006136C6"/>
    <w:rsid w:val="00636D6B"/>
    <w:rsid w:val="00656608"/>
    <w:rsid w:val="006575FC"/>
    <w:rsid w:val="00661866"/>
    <w:rsid w:val="00670F83"/>
    <w:rsid w:val="00671995"/>
    <w:rsid w:val="00686F12"/>
    <w:rsid w:val="00690C15"/>
    <w:rsid w:val="006911B1"/>
    <w:rsid w:val="006C6502"/>
    <w:rsid w:val="006C7952"/>
    <w:rsid w:val="006D763B"/>
    <w:rsid w:val="006E3345"/>
    <w:rsid w:val="006E3E05"/>
    <w:rsid w:val="006E500D"/>
    <w:rsid w:val="006F2EB7"/>
    <w:rsid w:val="006F4A53"/>
    <w:rsid w:val="007214DD"/>
    <w:rsid w:val="00722857"/>
    <w:rsid w:val="00737A66"/>
    <w:rsid w:val="00742F35"/>
    <w:rsid w:val="00766666"/>
    <w:rsid w:val="0076669F"/>
    <w:rsid w:val="00783912"/>
    <w:rsid w:val="00787186"/>
    <w:rsid w:val="007912A3"/>
    <w:rsid w:val="00795E71"/>
    <w:rsid w:val="007A430C"/>
    <w:rsid w:val="007A450B"/>
    <w:rsid w:val="007B4111"/>
    <w:rsid w:val="007B792E"/>
    <w:rsid w:val="007C2EBF"/>
    <w:rsid w:val="007D5AFC"/>
    <w:rsid w:val="007E3AB5"/>
    <w:rsid w:val="00813210"/>
    <w:rsid w:val="00817598"/>
    <w:rsid w:val="008501FC"/>
    <w:rsid w:val="00853D15"/>
    <w:rsid w:val="00866181"/>
    <w:rsid w:val="008827D2"/>
    <w:rsid w:val="00883D80"/>
    <w:rsid w:val="008911A8"/>
    <w:rsid w:val="0089496A"/>
    <w:rsid w:val="008A1599"/>
    <w:rsid w:val="008A23A9"/>
    <w:rsid w:val="008B1EC8"/>
    <w:rsid w:val="008B4D24"/>
    <w:rsid w:val="008C7542"/>
    <w:rsid w:val="008D7BC9"/>
    <w:rsid w:val="008E5938"/>
    <w:rsid w:val="00921CEA"/>
    <w:rsid w:val="00922113"/>
    <w:rsid w:val="00931388"/>
    <w:rsid w:val="00936630"/>
    <w:rsid w:val="0094220A"/>
    <w:rsid w:val="00953E39"/>
    <w:rsid w:val="00964D8E"/>
    <w:rsid w:val="009865B1"/>
    <w:rsid w:val="00986680"/>
    <w:rsid w:val="009A7BEA"/>
    <w:rsid w:val="009D3A73"/>
    <w:rsid w:val="009D6E55"/>
    <w:rsid w:val="009E4152"/>
    <w:rsid w:val="009F6C5B"/>
    <w:rsid w:val="00A03C30"/>
    <w:rsid w:val="00A06887"/>
    <w:rsid w:val="00A10ABD"/>
    <w:rsid w:val="00A271D5"/>
    <w:rsid w:val="00A83A59"/>
    <w:rsid w:val="00A86A07"/>
    <w:rsid w:val="00AB1E1C"/>
    <w:rsid w:val="00AC2908"/>
    <w:rsid w:val="00AD7A38"/>
    <w:rsid w:val="00AE0741"/>
    <w:rsid w:val="00AE128F"/>
    <w:rsid w:val="00AF6ABD"/>
    <w:rsid w:val="00B041C1"/>
    <w:rsid w:val="00B10505"/>
    <w:rsid w:val="00B12F68"/>
    <w:rsid w:val="00B378F6"/>
    <w:rsid w:val="00B432FE"/>
    <w:rsid w:val="00B553E3"/>
    <w:rsid w:val="00BA16C1"/>
    <w:rsid w:val="00BB4378"/>
    <w:rsid w:val="00BF1485"/>
    <w:rsid w:val="00C17F10"/>
    <w:rsid w:val="00C3030E"/>
    <w:rsid w:val="00C40086"/>
    <w:rsid w:val="00C47D74"/>
    <w:rsid w:val="00C51B93"/>
    <w:rsid w:val="00C66FFD"/>
    <w:rsid w:val="00C7442A"/>
    <w:rsid w:val="00C96759"/>
    <w:rsid w:val="00CA099B"/>
    <w:rsid w:val="00CB65F0"/>
    <w:rsid w:val="00CC0F4F"/>
    <w:rsid w:val="00CD6E4D"/>
    <w:rsid w:val="00CE4911"/>
    <w:rsid w:val="00D165C5"/>
    <w:rsid w:val="00D22F60"/>
    <w:rsid w:val="00D23AA0"/>
    <w:rsid w:val="00D27E3D"/>
    <w:rsid w:val="00D45E8F"/>
    <w:rsid w:val="00D605F9"/>
    <w:rsid w:val="00D73741"/>
    <w:rsid w:val="00D74223"/>
    <w:rsid w:val="00D74BE4"/>
    <w:rsid w:val="00D83E25"/>
    <w:rsid w:val="00D87A47"/>
    <w:rsid w:val="00D91330"/>
    <w:rsid w:val="00DB39CA"/>
    <w:rsid w:val="00DC006C"/>
    <w:rsid w:val="00DE4D8C"/>
    <w:rsid w:val="00DE61D4"/>
    <w:rsid w:val="00DF29C6"/>
    <w:rsid w:val="00E20AE7"/>
    <w:rsid w:val="00E2180E"/>
    <w:rsid w:val="00E222C3"/>
    <w:rsid w:val="00E349B7"/>
    <w:rsid w:val="00E50DAB"/>
    <w:rsid w:val="00E52D19"/>
    <w:rsid w:val="00E63C4C"/>
    <w:rsid w:val="00E7714B"/>
    <w:rsid w:val="00E80108"/>
    <w:rsid w:val="00E864CD"/>
    <w:rsid w:val="00EB0FA7"/>
    <w:rsid w:val="00EB4AD7"/>
    <w:rsid w:val="00ED2D68"/>
    <w:rsid w:val="00EF654A"/>
    <w:rsid w:val="00F01E79"/>
    <w:rsid w:val="00F03308"/>
    <w:rsid w:val="00F14F50"/>
    <w:rsid w:val="00F174BC"/>
    <w:rsid w:val="00F339DE"/>
    <w:rsid w:val="00F56B96"/>
    <w:rsid w:val="00F637A7"/>
    <w:rsid w:val="00F8337A"/>
    <w:rsid w:val="00F869CA"/>
    <w:rsid w:val="00F92E7C"/>
    <w:rsid w:val="00F93FEA"/>
    <w:rsid w:val="00FB3F28"/>
    <w:rsid w:val="00FB6F7A"/>
    <w:rsid w:val="00FB7644"/>
    <w:rsid w:val="00FD2EC3"/>
    <w:rsid w:val="00FE52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044FCC"/>
  <w15:docId w15:val="{2D80AD8F-FC0F-4DAA-A9A7-1211698B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952"/>
    <w:pPr>
      <w:keepNext/>
      <w:keepLines/>
      <w:numPr>
        <w:numId w:val="10"/>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C7952"/>
    <w:pPr>
      <w:keepNext/>
      <w:keepLines/>
      <w:numPr>
        <w:ilvl w:val="1"/>
        <w:numId w:val="10"/>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C7952"/>
    <w:pPr>
      <w:keepNext/>
      <w:keepLines/>
      <w:numPr>
        <w:ilvl w:val="2"/>
        <w:numId w:val="10"/>
      </w:numPr>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C7952"/>
    <w:pPr>
      <w:keepNext/>
      <w:keepLines/>
      <w:numPr>
        <w:ilvl w:val="3"/>
        <w:numId w:val="10"/>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C7952"/>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C7952"/>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C7952"/>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C7952"/>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7952"/>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character" w:styleId="Hyperlink">
    <w:name w:val="Hyperlink"/>
    <w:basedOn w:val="DefaultParagraphFont"/>
    <w:uiPriority w:val="99"/>
    <w:unhideWhenUsed/>
    <w:rsid w:val="00D87A47"/>
    <w:rPr>
      <w:color w:val="0000FF" w:themeColor="hyperlink"/>
      <w:u w:val="single"/>
    </w:rPr>
  </w:style>
  <w:style w:type="table" w:styleId="TableGrid">
    <w:name w:val="Table Grid"/>
    <w:basedOn w:val="TableNormal"/>
    <w:uiPriority w:val="59"/>
    <w:rsid w:val="007D5A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2C3"/>
    <w:pPr>
      <w:ind w:left="720"/>
      <w:contextualSpacing/>
    </w:pPr>
  </w:style>
  <w:style w:type="character" w:styleId="UnresolvedMention">
    <w:name w:val="Unresolved Mention"/>
    <w:basedOn w:val="DefaultParagraphFont"/>
    <w:uiPriority w:val="99"/>
    <w:semiHidden/>
    <w:unhideWhenUsed/>
    <w:rsid w:val="00601A0A"/>
    <w:rPr>
      <w:color w:val="605E5C"/>
      <w:shd w:val="clear" w:color="auto" w:fill="E1DFDD"/>
    </w:rPr>
  </w:style>
  <w:style w:type="character" w:customStyle="1" w:styleId="Heading1Char">
    <w:name w:val="Heading 1 Char"/>
    <w:basedOn w:val="DefaultParagraphFont"/>
    <w:link w:val="Heading1"/>
    <w:uiPriority w:val="9"/>
    <w:rsid w:val="006C795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C795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C7952"/>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6C795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C795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C795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C795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C79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795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cs.edu/ir/data/surveys" TargetMode="External"/><Relationship Id="rId3" Type="http://schemas.openxmlformats.org/officeDocument/2006/relationships/settings" Target="settings.xml"/><Relationship Id="rId7" Type="http://schemas.openxmlformats.org/officeDocument/2006/relationships/hyperlink" Target="mailto:ir@ucc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INSTITUTIONAL%20RESEARCH\IR%20Administration\IR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IRletterhead</Template>
  <TotalTime>818</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rmarschk</dc:creator>
  <cp:keywords/>
  <dc:description/>
  <cp:lastModifiedBy>Robyn Marschke</cp:lastModifiedBy>
  <cp:revision>208</cp:revision>
  <cp:lastPrinted>2012-10-09T23:59:00Z</cp:lastPrinted>
  <dcterms:created xsi:type="dcterms:W3CDTF">2019-05-10T17:37:00Z</dcterms:created>
  <dcterms:modified xsi:type="dcterms:W3CDTF">2019-11-07T21:29:00Z</dcterms:modified>
</cp:coreProperties>
</file>